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1.xml" ContentType="application/vnd.openxmlformats-officedocument.drawingml.chart+xml"/>
  <Override PartName="/word/charts/style41.xml" ContentType="application/vnd.ms-office.chartstyle+xml"/>
  <Override PartName="/word/charts/colors41.xml" ContentType="application/vnd.ms-office.chartcolorstyle+xml"/>
  <Override PartName="/word/charts/chart42.xml" ContentType="application/vnd.openxmlformats-officedocument.drawingml.chart+xml"/>
  <Override PartName="/word/charts/style42.xml" ContentType="application/vnd.ms-office.chartstyle+xml"/>
  <Override PartName="/word/charts/colors42.xml" ContentType="application/vnd.ms-office.chartcolorstyle+xml"/>
  <Override PartName="/word/charts/chart43.xml" ContentType="application/vnd.openxmlformats-officedocument.drawingml.chart+xml"/>
  <Override PartName="/word/charts/style43.xml" ContentType="application/vnd.ms-office.chartstyle+xml"/>
  <Override PartName="/word/charts/colors43.xml" ContentType="application/vnd.ms-office.chartcolorstyle+xml"/>
  <Override PartName="/word/charts/chart44.xml" ContentType="application/vnd.openxmlformats-officedocument.drawingml.chart+xml"/>
  <Override PartName="/word/charts/style44.xml" ContentType="application/vnd.ms-office.chartstyle+xml"/>
  <Override PartName="/word/charts/colors44.xml" ContentType="application/vnd.ms-office.chartcolorstyle+xml"/>
  <Override PartName="/word/charts/chart45.xml" ContentType="application/vnd.openxmlformats-officedocument.drawingml.chart+xml"/>
  <Override PartName="/word/charts/style45.xml" ContentType="application/vnd.ms-office.chartstyle+xml"/>
  <Override PartName="/word/charts/colors45.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7D17B" w14:textId="20B5F591" w:rsidR="00786785" w:rsidRDefault="00786785" w:rsidP="00D549FF">
      <w:pPr>
        <w:pStyle w:val="Title"/>
        <w:rPr>
          <w:b/>
          <w:color w:val="FFC000" w:themeColor="accent4"/>
          <w:u w:val="single"/>
        </w:rPr>
      </w:pPr>
      <w:r>
        <w:rPr>
          <w:noProof/>
          <w:lang w:eastAsia="en-NZ"/>
        </w:rPr>
        <w:drawing>
          <wp:anchor distT="0" distB="0" distL="114300" distR="114300" simplePos="0" relativeHeight="251710464" behindDoc="1" locked="0" layoutInCell="1" allowOverlap="1" wp14:anchorId="3B128715" wp14:editId="6769C601">
            <wp:simplePos x="0" y="0"/>
            <wp:positionH relativeFrom="column">
              <wp:posOffset>4253798</wp:posOffset>
            </wp:positionH>
            <wp:positionV relativeFrom="paragraph">
              <wp:posOffset>234</wp:posOffset>
            </wp:positionV>
            <wp:extent cx="2524125" cy="995680"/>
            <wp:effectExtent l="0" t="0" r="9525" b="0"/>
            <wp:wrapTight wrapText="bothSides">
              <wp:wrapPolygon edited="0">
                <wp:start x="0" y="0"/>
                <wp:lineTo x="0" y="21077"/>
                <wp:lineTo x="21518" y="21077"/>
                <wp:lineTo x="21518"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524125" cy="995680"/>
                    </a:xfrm>
                    <a:prstGeom prst="rect">
                      <a:avLst/>
                    </a:prstGeom>
                  </pic:spPr>
                </pic:pic>
              </a:graphicData>
            </a:graphic>
            <wp14:sizeRelV relativeFrom="margin">
              <wp14:pctHeight>0</wp14:pctHeight>
            </wp14:sizeRelV>
          </wp:anchor>
        </w:drawing>
      </w:r>
      <w:r w:rsidRPr="00031DAD">
        <w:rPr>
          <w:rFonts w:ascii="Calibri" w:eastAsia="Times New Roman"/>
          <w:b/>
          <w:noProof/>
          <w:color w:val="FFFFFF"/>
          <w:sz w:val="38"/>
          <w:lang w:eastAsia="en-NZ"/>
        </w:rPr>
        <mc:AlternateContent>
          <mc:Choice Requires="wps">
            <w:drawing>
              <wp:anchor distT="45720" distB="45720" distL="114300" distR="114300" simplePos="0" relativeHeight="251709440" behindDoc="1" locked="0" layoutInCell="1" allowOverlap="1" wp14:anchorId="5CE8C1BA" wp14:editId="1404A4FF">
                <wp:simplePos x="0" y="0"/>
                <wp:positionH relativeFrom="column">
                  <wp:posOffset>-240665</wp:posOffset>
                </wp:positionH>
                <wp:positionV relativeFrom="paragraph">
                  <wp:posOffset>0</wp:posOffset>
                </wp:positionV>
                <wp:extent cx="3649980" cy="1135380"/>
                <wp:effectExtent l="0" t="0" r="0" b="0"/>
                <wp:wrapTight wrapText="bothSides">
                  <wp:wrapPolygon edited="0">
                    <wp:start x="338" y="0"/>
                    <wp:lineTo x="338" y="21020"/>
                    <wp:lineTo x="21194" y="21020"/>
                    <wp:lineTo x="21194" y="0"/>
                    <wp:lineTo x="338" y="0"/>
                  </wp:wrapPolygon>
                </wp:wrapTight>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980" cy="1135380"/>
                        </a:xfrm>
                        <a:prstGeom prst="rect">
                          <a:avLst/>
                        </a:prstGeom>
                        <a:noFill/>
                        <a:ln w="9525">
                          <a:noFill/>
                          <a:miter lim="800000"/>
                          <a:headEnd/>
                          <a:tailEnd/>
                        </a:ln>
                      </wps:spPr>
                      <wps:txbx>
                        <w:txbxContent>
                          <w:p w14:paraId="285B35B7" w14:textId="693373B6" w:rsidR="00BC0FB3" w:rsidRPr="009E332D" w:rsidRDefault="00BC0FB3" w:rsidP="00786785">
                            <w:pPr>
                              <w:rPr>
                                <w:rFonts w:ascii="Geogrotesque SemiBold" w:hAnsi="Geogrotesque SemiBold"/>
                                <w:color w:val="00B6F1"/>
                              </w:rPr>
                            </w:pPr>
                            <w:r>
                              <w:rPr>
                                <w:rFonts w:ascii="Geogrotesque SemiBold" w:hAnsi="Geogrotesque SemiBold"/>
                                <w:color w:val="00B6F1"/>
                                <w:sz w:val="32"/>
                              </w:rPr>
                              <w:t xml:space="preserve">Government Policy Statement on Land Transport 2018 </w:t>
                            </w:r>
                          </w:p>
                          <w:p w14:paraId="4E286886" w14:textId="51FB79CA" w:rsidR="00BC0FB3" w:rsidRPr="009E332D" w:rsidRDefault="00BC0FB3" w:rsidP="00786785">
                            <w:pPr>
                              <w:rPr>
                                <w:rFonts w:ascii="Geogrotesque Regular" w:hAnsi="Geogrotesque Regular"/>
                                <w:color w:val="00B6F1"/>
                                <w:sz w:val="8"/>
                              </w:rPr>
                            </w:pPr>
                            <w:r>
                              <w:rPr>
                                <w:rFonts w:ascii="Geogrotesque Regular" w:hAnsi="Geogrotesque Regular"/>
                                <w:color w:val="00B6F1"/>
                                <w:sz w:val="32"/>
                              </w:rPr>
                              <w:t xml:space="preserve">Annual Report (Year 2) </w:t>
                            </w:r>
                          </w:p>
                          <w:p w14:paraId="7F3EBB9C" w14:textId="77777777" w:rsidR="00BC0FB3" w:rsidRPr="009E332D" w:rsidRDefault="00BC0FB3" w:rsidP="00786785">
                            <w:pPr>
                              <w:pStyle w:val="NoSpacing"/>
                              <w:rPr>
                                <w:sz w:val="2"/>
                              </w:rPr>
                            </w:pPr>
                          </w:p>
                          <w:p w14:paraId="24B05532" w14:textId="77777777" w:rsidR="00BC0FB3" w:rsidRPr="009E332D" w:rsidRDefault="00BC0FB3" w:rsidP="00786785">
                            <w:pPr>
                              <w:rPr>
                                <w:rFonts w:ascii="Geogrotesque UltraLight" w:hAnsi="Geogrotesque UltraLight"/>
                                <w:color w:val="808284"/>
                                <w:sz w:val="20"/>
                              </w:rPr>
                            </w:pPr>
                            <w:r w:rsidRPr="009E332D">
                              <w:rPr>
                                <w:rFonts w:ascii="Geogrotesque UltraLight" w:hAnsi="Geogrotesque UltraLight"/>
                                <w:color w:val="808284"/>
                                <w:sz w:val="20"/>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E8C1BA" id="_x0000_t202" coordsize="21600,21600" o:spt="202" path="m,l,21600r21600,l21600,xe">
                <v:stroke joinstyle="miter"/>
                <v:path gradientshapeok="t" o:connecttype="rect"/>
              </v:shapetype>
              <v:shape id="_x0000_s1026" type="#_x0000_t202" style="position:absolute;margin-left:-18.95pt;margin-top:0;width:287.4pt;height:89.4pt;z-index:-251607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" filled="f" stroked="f">
                <v:textbox>
                  <w:txbxContent>
                    <w:p w14:paraId="285B35B7" w14:textId="693373B6" w:rsidR="00BC0FB3" w:rsidRPr="009E332D" w:rsidRDefault="00BC0FB3" w:rsidP="00786785">
                      <w:pPr>
                        <w:rPr>
                          <w:rFonts w:ascii="Geogrotesque SemiBold" w:hAnsi="Geogrotesque SemiBold"/>
                          <w:color w:val="00B6F1"/>
                        </w:rPr>
                      </w:pPr>
                      <w:r>
                        <w:rPr>
                          <w:rFonts w:ascii="Geogrotesque SemiBold" w:hAnsi="Geogrotesque SemiBold"/>
                          <w:color w:val="00B6F1"/>
                          <w:sz w:val="32"/>
                        </w:rPr>
                        <w:t xml:space="preserve">Government Policy Statement on Land Transport 2018 </w:t>
                      </w:r>
                    </w:p>
                    <w:p w14:paraId="4E286886" w14:textId="51FB79CA" w:rsidR="00BC0FB3" w:rsidRPr="009E332D" w:rsidRDefault="00BC0FB3" w:rsidP="00786785">
                      <w:pPr>
                        <w:rPr>
                          <w:rFonts w:ascii="Geogrotesque Regular" w:hAnsi="Geogrotesque Regular"/>
                          <w:color w:val="00B6F1"/>
                          <w:sz w:val="8"/>
                        </w:rPr>
                      </w:pPr>
                      <w:r>
                        <w:rPr>
                          <w:rFonts w:ascii="Geogrotesque Regular" w:hAnsi="Geogrotesque Regular"/>
                          <w:color w:val="00B6F1"/>
                          <w:sz w:val="32"/>
                        </w:rPr>
                        <w:t xml:space="preserve">Annual Report (Year 2) </w:t>
                      </w:r>
                    </w:p>
                    <w:p w14:paraId="7F3EBB9C" w14:textId="77777777" w:rsidR="00BC0FB3" w:rsidRPr="009E332D" w:rsidRDefault="00BC0FB3" w:rsidP="00786785">
                      <w:pPr>
                        <w:pStyle w:val="NoSpacing"/>
                        <w:rPr>
                          <w:sz w:val="2"/>
                        </w:rPr>
                      </w:pPr>
                    </w:p>
                    <w:p w14:paraId="24B05532" w14:textId="77777777" w:rsidR="00BC0FB3" w:rsidRPr="009E332D" w:rsidRDefault="00BC0FB3" w:rsidP="00786785">
                      <w:pPr>
                        <w:rPr>
                          <w:rFonts w:ascii="Geogrotesque UltraLight" w:hAnsi="Geogrotesque UltraLight"/>
                          <w:color w:val="808284"/>
                          <w:sz w:val="20"/>
                        </w:rPr>
                      </w:pPr>
                      <w:r w:rsidRPr="009E332D">
                        <w:rPr>
                          <w:rFonts w:ascii="Geogrotesque UltraLight" w:hAnsi="Geogrotesque UltraLight"/>
                          <w:color w:val="808284"/>
                          <w:sz w:val="20"/>
                        </w:rPr>
                        <w:t>Date</w:t>
                      </w:r>
                    </w:p>
                  </w:txbxContent>
                </v:textbox>
                <w10:wrap type="tight"/>
              </v:shape>
            </w:pict>
          </mc:Fallback>
        </mc:AlternateContent>
      </w:r>
    </w:p>
    <w:p w14:paraId="6A849179" w14:textId="7F9A8EEB" w:rsidR="00786785" w:rsidRDefault="00786785">
      <w:pPr>
        <w:rPr>
          <w:rFonts w:asciiTheme="majorHAnsi" w:eastAsiaTheme="majorEastAsia" w:hAnsiTheme="majorHAnsi" w:cstheme="majorBidi"/>
          <w:b/>
          <w:color w:val="FFC000" w:themeColor="accent4"/>
          <w:spacing w:val="-10"/>
          <w:kern w:val="28"/>
          <w:sz w:val="56"/>
          <w:szCs w:val="56"/>
          <w:u w:val="single"/>
        </w:rPr>
      </w:pPr>
      <w:r>
        <w:rPr>
          <w:noProof/>
          <w:lang w:eastAsia="en-NZ"/>
        </w:rPr>
        <w:drawing>
          <wp:anchor distT="0" distB="0" distL="114300" distR="114300" simplePos="0" relativeHeight="251711488" behindDoc="1" locked="0" layoutInCell="1" allowOverlap="1" wp14:anchorId="5C23C129" wp14:editId="5300B6AE">
            <wp:simplePos x="0" y="0"/>
            <wp:positionH relativeFrom="column">
              <wp:posOffset>-72189</wp:posOffset>
            </wp:positionH>
            <wp:positionV relativeFrom="paragraph">
              <wp:posOffset>8683692</wp:posOffset>
            </wp:positionV>
            <wp:extent cx="1958645" cy="336884"/>
            <wp:effectExtent l="0" t="0" r="3810" b="6350"/>
            <wp:wrapTight wrapText="bothSides">
              <wp:wrapPolygon edited="0">
                <wp:start x="0" y="0"/>
                <wp:lineTo x="0" y="20785"/>
                <wp:lineTo x="21432" y="20785"/>
                <wp:lineTo x="21432"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970832" cy="338980"/>
                    </a:xfrm>
                    <a:prstGeom prst="rect">
                      <a:avLst/>
                    </a:prstGeom>
                  </pic:spPr>
                </pic:pic>
              </a:graphicData>
            </a:graphic>
            <wp14:sizeRelH relativeFrom="page">
              <wp14:pctWidth>0</wp14:pctWidth>
            </wp14:sizeRelH>
            <wp14:sizeRelV relativeFrom="page">
              <wp14:pctHeight>0</wp14:pctHeight>
            </wp14:sizeRelV>
          </wp:anchor>
        </w:drawing>
      </w:r>
      <w:r w:rsidRPr="005C1DBE">
        <w:rPr>
          <w:noProof/>
          <w:lang w:eastAsia="en-NZ"/>
        </w:rPr>
        <w:drawing>
          <wp:anchor distT="0" distB="0" distL="114300" distR="114300" simplePos="0" relativeHeight="251671551" behindDoc="1" locked="0" layoutInCell="1" allowOverlap="1" wp14:anchorId="466BC058" wp14:editId="721308EB">
            <wp:simplePos x="0" y="0"/>
            <wp:positionH relativeFrom="page">
              <wp:posOffset>33655</wp:posOffset>
            </wp:positionH>
            <wp:positionV relativeFrom="paragraph">
              <wp:posOffset>758190</wp:posOffset>
            </wp:positionV>
            <wp:extent cx="7507605" cy="8267065"/>
            <wp:effectExtent l="0" t="0" r="0" b="635"/>
            <wp:wrapTight wrapText="bothSides">
              <wp:wrapPolygon edited="0">
                <wp:start x="0" y="0"/>
                <wp:lineTo x="0" y="21552"/>
                <wp:lineTo x="21540" y="21552"/>
                <wp:lineTo x="21540" y="0"/>
                <wp:lineTo x="0" y="0"/>
              </wp:wrapPolygon>
            </wp:wrapTight>
            <wp:docPr id="20" name="Picture 20" descr="C:\Users\dixok\Desktop\Design\Logos and Banners\MOT ribbons -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ixok\Desktop\Design\Logos and Banners\MOT ribbons - logo 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2268"/>
                    <a:stretch/>
                  </pic:blipFill>
                  <pic:spPr bwMode="auto">
                    <a:xfrm>
                      <a:off x="0" y="0"/>
                      <a:ext cx="7507605" cy="82670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color w:val="FFC000" w:themeColor="accent4"/>
          <w:u w:val="single"/>
        </w:rPr>
        <w:br w:type="page"/>
      </w:r>
    </w:p>
    <w:p w14:paraId="03BE3D78" w14:textId="77777777" w:rsidR="00335C49" w:rsidRDefault="00335C49" w:rsidP="00D549FF">
      <w:pPr>
        <w:pStyle w:val="Title"/>
        <w:rPr>
          <w:b/>
          <w:color w:val="FFC000" w:themeColor="accent4"/>
          <w:u w:val="single"/>
        </w:rPr>
      </w:pPr>
    </w:p>
    <w:sdt>
      <w:sdtPr>
        <w:rPr>
          <w:rFonts w:ascii="Arial" w:eastAsiaTheme="minorHAnsi" w:hAnsi="Arial" w:cs="Arial"/>
          <w:color w:val="auto"/>
          <w:sz w:val="22"/>
          <w:szCs w:val="22"/>
          <w:lang w:val="en-NZ"/>
        </w:rPr>
        <w:id w:val="598764490"/>
        <w:docPartObj>
          <w:docPartGallery w:val="Table of Contents"/>
          <w:docPartUnique/>
        </w:docPartObj>
      </w:sdtPr>
      <w:sdtEndPr/>
      <w:sdtContent>
        <w:p w14:paraId="5100FE96" w14:textId="77777777" w:rsidR="00335C49" w:rsidRPr="004C2EDA" w:rsidRDefault="00335C49" w:rsidP="004C2EDA">
          <w:pPr>
            <w:pStyle w:val="TOCHeading"/>
            <w:jc w:val="center"/>
            <w:rPr>
              <w:rFonts w:ascii="Calibri" w:hAnsi="Calibri" w:cs="Calibri"/>
              <w:b/>
              <w:color w:val="auto"/>
            </w:rPr>
          </w:pPr>
          <w:r w:rsidRPr="004C2EDA">
            <w:rPr>
              <w:rFonts w:ascii="Calibri" w:hAnsi="Calibri" w:cs="Calibri"/>
              <w:b/>
              <w:color w:val="auto"/>
            </w:rPr>
            <w:t>Table of Contents</w:t>
          </w:r>
        </w:p>
        <w:tbl>
          <w:tblPr>
            <w:tblStyle w:val="GridTable1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979"/>
            <w:gridCol w:w="772"/>
            <w:gridCol w:w="772"/>
          </w:tblGrid>
          <w:tr w:rsidR="00266C08" w14:paraId="6287AD77" w14:textId="77777777" w:rsidTr="005C67FD">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6979" w:type="dxa"/>
                <w:tcBorders>
                  <w:bottom w:val="none" w:sz="0" w:space="0" w:color="auto"/>
                </w:tcBorders>
              </w:tcPr>
              <w:p w14:paraId="0BC5EB4A" w14:textId="7E2FFB02" w:rsidR="00266C08" w:rsidRPr="005C67FD" w:rsidRDefault="005C67FD" w:rsidP="005C67FD">
                <w:pPr>
                  <w:pStyle w:val="TableParagraph"/>
                  <w:spacing w:line="244" w:lineRule="exact"/>
                  <w:ind w:left="200"/>
                  <w:rPr>
                    <w:rFonts w:ascii="Verdana"/>
                    <w:b w:val="0"/>
                    <w:color w:val="767171" w:themeColor="background2" w:themeShade="80"/>
                    <w:w w:val="80"/>
                    <w:sz w:val="21"/>
                  </w:rPr>
                </w:pPr>
                <w:r>
                  <w:rPr>
                    <w:rFonts w:ascii="Verdana"/>
                    <w:b w:val="0"/>
                    <w:color w:val="767171" w:themeColor="background2" w:themeShade="80"/>
                    <w:w w:val="80"/>
                    <w:sz w:val="21"/>
                  </w:rPr>
                  <w:t xml:space="preserve">Introduction </w:t>
                </w:r>
              </w:p>
            </w:tc>
            <w:tc>
              <w:tcPr>
                <w:tcW w:w="772" w:type="dxa"/>
                <w:tcBorders>
                  <w:bottom w:val="none" w:sz="0" w:space="0" w:color="auto"/>
                </w:tcBorders>
              </w:tcPr>
              <w:p w14:paraId="42E025B0" w14:textId="763EA1E3" w:rsidR="00266C08" w:rsidRDefault="00BC0FB3" w:rsidP="003B42C9">
                <w:pPr>
                  <w:pStyle w:val="TableParagraph"/>
                  <w:spacing w:line="244" w:lineRule="exact"/>
                  <w:ind w:right="198"/>
                  <w:jc w:val="right"/>
                  <w:cnfStyle w:val="100000000000" w:firstRow="1" w:lastRow="0" w:firstColumn="0" w:lastColumn="0" w:oddVBand="0" w:evenVBand="0" w:oddHBand="0" w:evenHBand="0" w:firstRowFirstColumn="0" w:firstRowLastColumn="0" w:lastRowFirstColumn="0" w:lastRowLastColumn="0"/>
                  <w:rPr>
                    <w:rFonts w:ascii="Verdana"/>
                    <w:b w:val="0"/>
                    <w:sz w:val="21"/>
                  </w:rPr>
                </w:pPr>
                <w:r>
                  <w:rPr>
                    <w:color w:val="58595B"/>
                    <w:sz w:val="16"/>
                  </w:rPr>
                  <w:t>03</w:t>
                </w:r>
              </w:p>
            </w:tc>
            <w:tc>
              <w:tcPr>
                <w:cnfStyle w:val="000100000000" w:firstRow="0" w:lastRow="0" w:firstColumn="0" w:lastColumn="1" w:oddVBand="0" w:evenVBand="0" w:oddHBand="0" w:evenHBand="0" w:firstRowFirstColumn="0" w:firstRowLastColumn="0" w:lastRowFirstColumn="0" w:lastRowLastColumn="0"/>
                <w:tcW w:w="772" w:type="dxa"/>
                <w:tcBorders>
                  <w:bottom w:val="none" w:sz="0" w:space="0" w:color="auto"/>
                </w:tcBorders>
              </w:tcPr>
              <w:p w14:paraId="2C12A66F" w14:textId="77777777" w:rsidR="00266C08" w:rsidRPr="00FE181A" w:rsidRDefault="00266C08" w:rsidP="003B42C9">
                <w:pPr>
                  <w:pStyle w:val="TableParagraph"/>
                  <w:spacing w:line="244" w:lineRule="exact"/>
                  <w:ind w:right="198"/>
                  <w:jc w:val="right"/>
                  <w:rPr>
                    <w:rFonts w:ascii="Verdana"/>
                    <w:b w:val="0"/>
                    <w:color w:val="FFC000" w:themeColor="accent4"/>
                    <w:w w:val="75"/>
                    <w:sz w:val="21"/>
                  </w:rPr>
                </w:pPr>
              </w:p>
            </w:tc>
          </w:tr>
          <w:tr w:rsidR="005C67FD" w14:paraId="6A0F47F3" w14:textId="77777777" w:rsidTr="005C67FD">
            <w:trPr>
              <w:trHeight w:val="263"/>
            </w:trPr>
            <w:tc>
              <w:tcPr>
                <w:cnfStyle w:val="001000000000" w:firstRow="0" w:lastRow="0" w:firstColumn="1" w:lastColumn="0" w:oddVBand="0" w:evenVBand="0" w:oddHBand="0" w:evenHBand="0" w:firstRowFirstColumn="0" w:firstRowLastColumn="0" w:lastRowFirstColumn="0" w:lastRowLastColumn="0"/>
                <w:tcW w:w="6979" w:type="dxa"/>
              </w:tcPr>
              <w:p w14:paraId="351ACCDD" w14:textId="0DC2DB64" w:rsidR="005C67FD" w:rsidRPr="00A403B0" w:rsidRDefault="005C67FD" w:rsidP="00FE181A">
                <w:pPr>
                  <w:pStyle w:val="TableParagraph"/>
                  <w:spacing w:line="244" w:lineRule="exact"/>
                  <w:ind w:left="200"/>
                  <w:rPr>
                    <w:rFonts w:ascii="Verdana"/>
                    <w:b w:val="0"/>
                    <w:color w:val="767171" w:themeColor="background2" w:themeShade="80"/>
                    <w:w w:val="80"/>
                    <w:sz w:val="21"/>
                  </w:rPr>
                </w:pPr>
                <w:r w:rsidRPr="00FE181A">
                  <w:rPr>
                    <w:rFonts w:ascii="Verdana"/>
                    <w:b w:val="0"/>
                    <w:color w:val="FFC000" w:themeColor="accent4"/>
                    <w:w w:val="80"/>
                    <w:sz w:val="21"/>
                  </w:rPr>
                  <w:t>Section</w:t>
                </w:r>
                <w:r w:rsidRPr="00FE181A">
                  <w:rPr>
                    <w:rFonts w:ascii="Verdana"/>
                    <w:b w:val="0"/>
                    <w:color w:val="FFC000" w:themeColor="accent4"/>
                    <w:spacing w:val="-32"/>
                    <w:w w:val="80"/>
                    <w:sz w:val="21"/>
                  </w:rPr>
                  <w:t xml:space="preserve"> </w:t>
                </w:r>
                <w:r w:rsidRPr="00FE181A">
                  <w:rPr>
                    <w:rFonts w:ascii="Verdana"/>
                    <w:b w:val="0"/>
                    <w:color w:val="FFC000" w:themeColor="accent4"/>
                    <w:w w:val="80"/>
                    <w:sz w:val="21"/>
                  </w:rPr>
                  <w:t>1:</w:t>
                </w:r>
                <w:r w:rsidRPr="00FE181A">
                  <w:rPr>
                    <w:rFonts w:ascii="Verdana"/>
                    <w:b w:val="0"/>
                    <w:color w:val="FFC000" w:themeColor="accent4"/>
                    <w:spacing w:val="-31"/>
                    <w:w w:val="80"/>
                    <w:sz w:val="21"/>
                  </w:rPr>
                  <w:t xml:space="preserve"> </w:t>
                </w:r>
                <w:r w:rsidRPr="00FE181A">
                  <w:rPr>
                    <w:rFonts w:ascii="Verdana"/>
                    <w:b w:val="0"/>
                    <w:color w:val="FFC000" w:themeColor="accent4"/>
                    <w:w w:val="80"/>
                    <w:sz w:val="21"/>
                  </w:rPr>
                  <w:t>Safety</w:t>
                </w:r>
              </w:p>
            </w:tc>
            <w:tc>
              <w:tcPr>
                <w:tcW w:w="772" w:type="dxa"/>
              </w:tcPr>
              <w:p w14:paraId="603216E5" w14:textId="5D4D8CA3" w:rsidR="005C67FD" w:rsidRDefault="005C67FD" w:rsidP="003B42C9">
                <w:pPr>
                  <w:pStyle w:val="TableParagraph"/>
                  <w:spacing w:line="244" w:lineRule="exact"/>
                  <w:ind w:right="198"/>
                  <w:jc w:val="right"/>
                  <w:cnfStyle w:val="000000000000" w:firstRow="0" w:lastRow="0" w:firstColumn="0" w:lastColumn="0" w:oddVBand="0" w:evenVBand="0" w:oddHBand="0" w:evenHBand="0" w:firstRowFirstColumn="0" w:firstRowLastColumn="0" w:lastRowFirstColumn="0" w:lastRowLastColumn="0"/>
                  <w:rPr>
                    <w:color w:val="58595B"/>
                    <w:sz w:val="16"/>
                  </w:rPr>
                </w:pPr>
                <w:r w:rsidRPr="005C67FD">
                  <w:rPr>
                    <w:rFonts w:ascii="Verdana"/>
                    <w:bCs/>
                    <w:color w:val="FFC000" w:themeColor="accent4"/>
                    <w:w w:val="80"/>
                    <w:sz w:val="21"/>
                  </w:rPr>
                  <w:t>04</w:t>
                </w:r>
              </w:p>
            </w:tc>
            <w:tc>
              <w:tcPr>
                <w:cnfStyle w:val="000100000000" w:firstRow="0" w:lastRow="0" w:firstColumn="0" w:lastColumn="1" w:oddVBand="0" w:evenVBand="0" w:oddHBand="0" w:evenHBand="0" w:firstRowFirstColumn="0" w:firstRowLastColumn="0" w:lastRowFirstColumn="0" w:lastRowLastColumn="0"/>
                <w:tcW w:w="772" w:type="dxa"/>
              </w:tcPr>
              <w:p w14:paraId="7CA53C82" w14:textId="77777777" w:rsidR="005C67FD" w:rsidRPr="00FE181A" w:rsidRDefault="005C67FD" w:rsidP="003B42C9">
                <w:pPr>
                  <w:pStyle w:val="TableParagraph"/>
                  <w:spacing w:line="244" w:lineRule="exact"/>
                  <w:ind w:right="198"/>
                  <w:jc w:val="right"/>
                  <w:rPr>
                    <w:rFonts w:ascii="Verdana"/>
                    <w:b w:val="0"/>
                    <w:color w:val="FFC000" w:themeColor="accent4"/>
                    <w:w w:val="75"/>
                    <w:sz w:val="21"/>
                  </w:rPr>
                </w:pPr>
              </w:p>
            </w:tc>
          </w:tr>
          <w:tr w:rsidR="00F620CC" w14:paraId="13250AAA" w14:textId="77777777" w:rsidTr="005C67FD">
            <w:trPr>
              <w:trHeight w:val="216"/>
            </w:trPr>
            <w:tc>
              <w:tcPr>
                <w:cnfStyle w:val="001000000000" w:firstRow="0" w:lastRow="0" w:firstColumn="1" w:lastColumn="0" w:oddVBand="0" w:evenVBand="0" w:oddHBand="0" w:evenHBand="0" w:firstRowFirstColumn="0" w:firstRowLastColumn="0" w:lastRowFirstColumn="0" w:lastRowLastColumn="0"/>
                <w:tcW w:w="6979" w:type="dxa"/>
              </w:tcPr>
              <w:p w14:paraId="0A169077" w14:textId="77777777" w:rsidR="00F620CC" w:rsidRDefault="00F620CC" w:rsidP="00266C08">
                <w:pPr>
                  <w:pStyle w:val="TableParagraph"/>
                  <w:spacing w:before="10"/>
                  <w:ind w:left="200"/>
                  <w:rPr>
                    <w:b w:val="0"/>
                    <w:color w:val="58595B"/>
                    <w:sz w:val="16"/>
                  </w:rPr>
                </w:pPr>
                <w:r>
                  <w:rPr>
                    <w:b w:val="0"/>
                    <w:color w:val="58595B"/>
                    <w:sz w:val="16"/>
                  </w:rPr>
                  <w:t xml:space="preserve">Deaths and serious injuries </w:t>
                </w:r>
              </w:p>
            </w:tc>
            <w:tc>
              <w:tcPr>
                <w:tcW w:w="772" w:type="dxa"/>
              </w:tcPr>
              <w:p w14:paraId="1EB0DDBB" w14:textId="04DC6971" w:rsidR="00F620CC" w:rsidRDefault="005C67FD" w:rsidP="003B42C9">
                <w:pPr>
                  <w:pStyle w:val="TableParagraph"/>
                  <w:spacing w:before="10"/>
                  <w:ind w:right="198"/>
                  <w:jc w:val="right"/>
                  <w:cnfStyle w:val="000000000000" w:firstRow="0" w:lastRow="0" w:firstColumn="0" w:lastColumn="0" w:oddVBand="0" w:evenVBand="0" w:oddHBand="0" w:evenHBand="0" w:firstRowFirstColumn="0" w:firstRowLastColumn="0" w:lastRowFirstColumn="0" w:lastRowLastColumn="0"/>
                  <w:rPr>
                    <w:color w:val="58595B"/>
                    <w:sz w:val="16"/>
                  </w:rPr>
                </w:pPr>
                <w:r>
                  <w:rPr>
                    <w:color w:val="58595B"/>
                    <w:sz w:val="16"/>
                  </w:rPr>
                  <w:t>05</w:t>
                </w:r>
              </w:p>
            </w:tc>
            <w:tc>
              <w:tcPr>
                <w:cnfStyle w:val="000100000000" w:firstRow="0" w:lastRow="0" w:firstColumn="0" w:lastColumn="1" w:oddVBand="0" w:evenVBand="0" w:oddHBand="0" w:evenHBand="0" w:firstRowFirstColumn="0" w:firstRowLastColumn="0" w:lastRowFirstColumn="0" w:lastRowLastColumn="0"/>
                <w:tcW w:w="772" w:type="dxa"/>
              </w:tcPr>
              <w:p w14:paraId="023700C4" w14:textId="77777777" w:rsidR="00F620CC" w:rsidRDefault="00F620CC" w:rsidP="003B42C9">
                <w:pPr>
                  <w:pStyle w:val="TableParagraph"/>
                  <w:spacing w:before="10"/>
                  <w:ind w:right="198"/>
                  <w:jc w:val="right"/>
                  <w:rPr>
                    <w:color w:val="58595B"/>
                    <w:sz w:val="16"/>
                  </w:rPr>
                </w:pPr>
              </w:p>
            </w:tc>
          </w:tr>
          <w:tr w:rsidR="00266C08" w14:paraId="221388B5" w14:textId="77777777" w:rsidTr="005C67FD">
            <w:trPr>
              <w:trHeight w:val="216"/>
            </w:trPr>
            <w:tc>
              <w:tcPr>
                <w:cnfStyle w:val="001000000000" w:firstRow="0" w:lastRow="0" w:firstColumn="1" w:lastColumn="0" w:oddVBand="0" w:evenVBand="0" w:oddHBand="0" w:evenHBand="0" w:firstRowFirstColumn="0" w:firstRowLastColumn="0" w:lastRowFirstColumn="0" w:lastRowLastColumn="0"/>
                <w:tcW w:w="6979" w:type="dxa"/>
              </w:tcPr>
              <w:p w14:paraId="0F16DCBA" w14:textId="08CB9860" w:rsidR="00266C08" w:rsidRDefault="005C67FD" w:rsidP="00266C08">
                <w:pPr>
                  <w:pStyle w:val="TableParagraph"/>
                  <w:spacing w:before="10"/>
                  <w:ind w:left="200"/>
                  <w:rPr>
                    <w:sz w:val="16"/>
                  </w:rPr>
                </w:pPr>
                <w:r>
                  <w:rPr>
                    <w:b w:val="0"/>
                    <w:color w:val="58595B"/>
                    <w:sz w:val="16"/>
                  </w:rPr>
                  <w:t xml:space="preserve">Speed and infrastructure programme </w:t>
                </w:r>
              </w:p>
            </w:tc>
            <w:tc>
              <w:tcPr>
                <w:tcW w:w="772" w:type="dxa"/>
              </w:tcPr>
              <w:p w14:paraId="7B1E8231" w14:textId="1FFC1AEE" w:rsidR="00266C08" w:rsidRDefault="005C67FD" w:rsidP="003B42C9">
                <w:pPr>
                  <w:pStyle w:val="TableParagraph"/>
                  <w:spacing w:before="10"/>
                  <w:ind w:right="198"/>
                  <w:jc w:val="right"/>
                  <w:cnfStyle w:val="000000000000" w:firstRow="0" w:lastRow="0" w:firstColumn="0" w:lastColumn="0" w:oddVBand="0" w:evenVBand="0" w:oddHBand="0" w:evenHBand="0" w:firstRowFirstColumn="0" w:firstRowLastColumn="0" w:lastRowFirstColumn="0" w:lastRowLastColumn="0"/>
                  <w:rPr>
                    <w:sz w:val="16"/>
                  </w:rPr>
                </w:pPr>
                <w:r>
                  <w:rPr>
                    <w:color w:val="58595B"/>
                    <w:sz w:val="16"/>
                  </w:rPr>
                  <w:t>07</w:t>
                </w:r>
              </w:p>
            </w:tc>
            <w:tc>
              <w:tcPr>
                <w:cnfStyle w:val="000100000000" w:firstRow="0" w:lastRow="0" w:firstColumn="0" w:lastColumn="1" w:oddVBand="0" w:evenVBand="0" w:oddHBand="0" w:evenHBand="0" w:firstRowFirstColumn="0" w:firstRowLastColumn="0" w:lastRowFirstColumn="0" w:lastRowLastColumn="0"/>
                <w:tcW w:w="772" w:type="dxa"/>
              </w:tcPr>
              <w:p w14:paraId="5C757B99" w14:textId="77777777" w:rsidR="00266C08" w:rsidRDefault="00266C08" w:rsidP="003B42C9">
                <w:pPr>
                  <w:pStyle w:val="TableParagraph"/>
                  <w:spacing w:before="10"/>
                  <w:ind w:right="198"/>
                  <w:jc w:val="right"/>
                  <w:rPr>
                    <w:color w:val="58595B"/>
                    <w:sz w:val="16"/>
                  </w:rPr>
                </w:pPr>
              </w:p>
            </w:tc>
          </w:tr>
          <w:tr w:rsidR="00266C08" w14:paraId="3BAAB6E8" w14:textId="77777777" w:rsidTr="005C67FD">
            <w:trPr>
              <w:trHeight w:val="222"/>
            </w:trPr>
            <w:tc>
              <w:tcPr>
                <w:cnfStyle w:val="001000000000" w:firstRow="0" w:lastRow="0" w:firstColumn="1" w:lastColumn="0" w:oddVBand="0" w:evenVBand="0" w:oddHBand="0" w:evenHBand="0" w:firstRowFirstColumn="0" w:firstRowLastColumn="0" w:lastRowFirstColumn="0" w:lastRowLastColumn="0"/>
                <w:tcW w:w="6979" w:type="dxa"/>
              </w:tcPr>
              <w:p w14:paraId="62703F59" w14:textId="21BDEEE6" w:rsidR="00266C08" w:rsidRPr="00266C08" w:rsidRDefault="005C67FD" w:rsidP="00266C08">
                <w:pPr>
                  <w:pStyle w:val="TableParagraph"/>
                  <w:spacing w:before="15"/>
                  <w:ind w:left="200"/>
                  <w:rPr>
                    <w:b w:val="0"/>
                    <w:color w:val="58595B"/>
                    <w:sz w:val="16"/>
                  </w:rPr>
                </w:pPr>
                <w:r>
                  <w:rPr>
                    <w:b w:val="0"/>
                    <w:color w:val="58595B"/>
                    <w:sz w:val="16"/>
                  </w:rPr>
                  <w:t xml:space="preserve">Road Policing </w:t>
                </w:r>
              </w:p>
            </w:tc>
            <w:tc>
              <w:tcPr>
                <w:tcW w:w="772" w:type="dxa"/>
              </w:tcPr>
              <w:p w14:paraId="073B30FF" w14:textId="267AFDC8" w:rsidR="00266C08" w:rsidRDefault="005C67FD" w:rsidP="003B42C9">
                <w:pPr>
                  <w:pStyle w:val="TableParagraph"/>
                  <w:spacing w:before="15"/>
                  <w:ind w:right="198"/>
                  <w:jc w:val="right"/>
                  <w:cnfStyle w:val="000000000000" w:firstRow="0" w:lastRow="0" w:firstColumn="0" w:lastColumn="0" w:oddVBand="0" w:evenVBand="0" w:oddHBand="0" w:evenHBand="0" w:firstRowFirstColumn="0" w:firstRowLastColumn="0" w:lastRowFirstColumn="0" w:lastRowLastColumn="0"/>
                  <w:rPr>
                    <w:sz w:val="16"/>
                  </w:rPr>
                </w:pPr>
                <w:r>
                  <w:rPr>
                    <w:color w:val="58595B"/>
                    <w:sz w:val="16"/>
                  </w:rPr>
                  <w:t>08</w:t>
                </w:r>
              </w:p>
            </w:tc>
            <w:tc>
              <w:tcPr>
                <w:cnfStyle w:val="000100000000" w:firstRow="0" w:lastRow="0" w:firstColumn="0" w:lastColumn="1" w:oddVBand="0" w:evenVBand="0" w:oddHBand="0" w:evenHBand="0" w:firstRowFirstColumn="0" w:firstRowLastColumn="0" w:lastRowFirstColumn="0" w:lastRowLastColumn="0"/>
                <w:tcW w:w="772" w:type="dxa"/>
              </w:tcPr>
              <w:p w14:paraId="04D35D30" w14:textId="77777777" w:rsidR="00266C08" w:rsidRDefault="00266C08" w:rsidP="003B42C9">
                <w:pPr>
                  <w:pStyle w:val="TableParagraph"/>
                  <w:spacing w:before="15"/>
                  <w:ind w:right="198"/>
                  <w:jc w:val="right"/>
                  <w:rPr>
                    <w:color w:val="58595B"/>
                    <w:sz w:val="16"/>
                  </w:rPr>
                </w:pPr>
              </w:p>
            </w:tc>
          </w:tr>
          <w:tr w:rsidR="00266C08" w14:paraId="404A6504" w14:textId="77777777" w:rsidTr="005C67FD">
            <w:trPr>
              <w:trHeight w:val="216"/>
            </w:trPr>
            <w:tc>
              <w:tcPr>
                <w:cnfStyle w:val="001000000000" w:firstRow="0" w:lastRow="0" w:firstColumn="1" w:lastColumn="0" w:oddVBand="0" w:evenVBand="0" w:oddHBand="0" w:evenHBand="0" w:firstRowFirstColumn="0" w:firstRowLastColumn="0" w:lastRowFirstColumn="0" w:lastRowLastColumn="0"/>
                <w:tcW w:w="6979" w:type="dxa"/>
              </w:tcPr>
              <w:p w14:paraId="1F37AC2A" w14:textId="0D8508C6" w:rsidR="00266C08" w:rsidRDefault="005C67FD" w:rsidP="003B42C9">
                <w:pPr>
                  <w:pStyle w:val="TableParagraph"/>
                  <w:spacing w:before="10"/>
                  <w:ind w:left="200"/>
                  <w:rPr>
                    <w:sz w:val="16"/>
                  </w:rPr>
                </w:pPr>
                <w:r>
                  <w:rPr>
                    <w:b w:val="0"/>
                    <w:color w:val="58595B"/>
                    <w:sz w:val="16"/>
                  </w:rPr>
                  <w:t>Driver behaviour</w:t>
                </w:r>
              </w:p>
            </w:tc>
            <w:tc>
              <w:tcPr>
                <w:tcW w:w="772" w:type="dxa"/>
              </w:tcPr>
              <w:p w14:paraId="35D47E7B" w14:textId="073232DE" w:rsidR="00266C08" w:rsidRDefault="005C67FD" w:rsidP="003B42C9">
                <w:pPr>
                  <w:pStyle w:val="TableParagraph"/>
                  <w:spacing w:before="10"/>
                  <w:ind w:right="198"/>
                  <w:jc w:val="right"/>
                  <w:cnfStyle w:val="000000000000" w:firstRow="0" w:lastRow="0" w:firstColumn="0" w:lastColumn="0" w:oddVBand="0" w:evenVBand="0" w:oddHBand="0" w:evenHBand="0" w:firstRowFirstColumn="0" w:firstRowLastColumn="0" w:lastRowFirstColumn="0" w:lastRowLastColumn="0"/>
                  <w:rPr>
                    <w:sz w:val="16"/>
                  </w:rPr>
                </w:pPr>
                <w:r>
                  <w:rPr>
                    <w:color w:val="58595B"/>
                    <w:sz w:val="16"/>
                  </w:rPr>
                  <w:t>10</w:t>
                </w:r>
              </w:p>
            </w:tc>
            <w:tc>
              <w:tcPr>
                <w:cnfStyle w:val="000100000000" w:firstRow="0" w:lastRow="0" w:firstColumn="0" w:lastColumn="1" w:oddVBand="0" w:evenVBand="0" w:oddHBand="0" w:evenHBand="0" w:firstRowFirstColumn="0" w:firstRowLastColumn="0" w:lastRowFirstColumn="0" w:lastRowLastColumn="0"/>
                <w:tcW w:w="772" w:type="dxa"/>
              </w:tcPr>
              <w:p w14:paraId="34050981" w14:textId="77777777" w:rsidR="00266C08" w:rsidRDefault="00266C08" w:rsidP="003B42C9">
                <w:pPr>
                  <w:pStyle w:val="TableParagraph"/>
                  <w:spacing w:before="10"/>
                  <w:ind w:right="198"/>
                  <w:jc w:val="right"/>
                  <w:rPr>
                    <w:color w:val="58595B"/>
                    <w:sz w:val="16"/>
                  </w:rPr>
                </w:pPr>
              </w:p>
            </w:tc>
          </w:tr>
          <w:tr w:rsidR="00266C08" w14:paraId="2F0557D5" w14:textId="77777777" w:rsidTr="005C67FD">
            <w:trPr>
              <w:trHeight w:val="222"/>
            </w:trPr>
            <w:tc>
              <w:tcPr>
                <w:cnfStyle w:val="001000000000" w:firstRow="0" w:lastRow="0" w:firstColumn="1" w:lastColumn="0" w:oddVBand="0" w:evenVBand="0" w:oddHBand="0" w:evenHBand="0" w:firstRowFirstColumn="0" w:firstRowLastColumn="0" w:lastRowFirstColumn="0" w:lastRowLastColumn="0"/>
                <w:tcW w:w="6979" w:type="dxa"/>
              </w:tcPr>
              <w:p w14:paraId="01122B6A" w14:textId="01A16ACF" w:rsidR="00266C08" w:rsidRDefault="005C67FD" w:rsidP="003B42C9">
                <w:pPr>
                  <w:pStyle w:val="TableParagraph"/>
                  <w:spacing w:before="15"/>
                  <w:ind w:left="200"/>
                  <w:rPr>
                    <w:sz w:val="16"/>
                  </w:rPr>
                </w:pPr>
                <w:r>
                  <w:rPr>
                    <w:b w:val="0"/>
                    <w:color w:val="58595B"/>
                    <w:sz w:val="16"/>
                  </w:rPr>
                  <w:t>Public attitudes towards road safety</w:t>
                </w:r>
              </w:p>
            </w:tc>
            <w:tc>
              <w:tcPr>
                <w:tcW w:w="772" w:type="dxa"/>
              </w:tcPr>
              <w:p w14:paraId="311836A2" w14:textId="2E7D5198" w:rsidR="00266C08" w:rsidRDefault="005C67FD" w:rsidP="003B42C9">
                <w:pPr>
                  <w:pStyle w:val="TableParagraph"/>
                  <w:spacing w:before="15"/>
                  <w:ind w:right="198"/>
                  <w:jc w:val="right"/>
                  <w:cnfStyle w:val="000000000000" w:firstRow="0" w:lastRow="0" w:firstColumn="0" w:lastColumn="0" w:oddVBand="0" w:evenVBand="0" w:oddHBand="0" w:evenHBand="0" w:firstRowFirstColumn="0" w:firstRowLastColumn="0" w:lastRowFirstColumn="0" w:lastRowLastColumn="0"/>
                  <w:rPr>
                    <w:sz w:val="16"/>
                  </w:rPr>
                </w:pPr>
                <w:r>
                  <w:rPr>
                    <w:color w:val="58595B"/>
                    <w:sz w:val="16"/>
                  </w:rPr>
                  <w:t>11</w:t>
                </w:r>
              </w:p>
            </w:tc>
            <w:tc>
              <w:tcPr>
                <w:cnfStyle w:val="000100000000" w:firstRow="0" w:lastRow="0" w:firstColumn="0" w:lastColumn="1" w:oddVBand="0" w:evenVBand="0" w:oddHBand="0" w:evenHBand="0" w:firstRowFirstColumn="0" w:firstRowLastColumn="0" w:lastRowFirstColumn="0" w:lastRowLastColumn="0"/>
                <w:tcW w:w="772" w:type="dxa"/>
              </w:tcPr>
              <w:p w14:paraId="08F4B661" w14:textId="77777777" w:rsidR="00266C08" w:rsidRDefault="00266C08" w:rsidP="003B42C9">
                <w:pPr>
                  <w:pStyle w:val="TableParagraph"/>
                  <w:spacing w:before="15"/>
                  <w:ind w:right="198"/>
                  <w:jc w:val="right"/>
                  <w:rPr>
                    <w:color w:val="58595B"/>
                    <w:sz w:val="16"/>
                  </w:rPr>
                </w:pPr>
              </w:p>
            </w:tc>
          </w:tr>
          <w:tr w:rsidR="00266C08" w14:paraId="0666EB34" w14:textId="77777777" w:rsidTr="005C67FD">
            <w:trPr>
              <w:trHeight w:val="222"/>
            </w:trPr>
            <w:tc>
              <w:tcPr>
                <w:cnfStyle w:val="001000000000" w:firstRow="0" w:lastRow="0" w:firstColumn="1" w:lastColumn="0" w:oddVBand="0" w:evenVBand="0" w:oddHBand="0" w:evenHBand="0" w:firstRowFirstColumn="0" w:firstRowLastColumn="0" w:lastRowFirstColumn="0" w:lastRowLastColumn="0"/>
                <w:tcW w:w="6979" w:type="dxa"/>
              </w:tcPr>
              <w:p w14:paraId="7B074521" w14:textId="19CAEDEF" w:rsidR="00266C08" w:rsidRDefault="005C67FD" w:rsidP="003B42C9">
                <w:pPr>
                  <w:pStyle w:val="TableParagraph"/>
                  <w:spacing w:before="15"/>
                  <w:ind w:left="200"/>
                  <w:rPr>
                    <w:sz w:val="16"/>
                  </w:rPr>
                </w:pPr>
                <w:r>
                  <w:rPr>
                    <w:b w:val="0"/>
                    <w:color w:val="58595B"/>
                    <w:sz w:val="16"/>
                  </w:rPr>
                  <w:t>Walking and cycling safety</w:t>
                </w:r>
              </w:p>
            </w:tc>
            <w:tc>
              <w:tcPr>
                <w:tcW w:w="772" w:type="dxa"/>
              </w:tcPr>
              <w:p w14:paraId="60F3F4C4" w14:textId="57141726" w:rsidR="00266C08" w:rsidRDefault="005C67FD" w:rsidP="003B42C9">
                <w:pPr>
                  <w:pStyle w:val="TableParagraph"/>
                  <w:spacing w:before="15"/>
                  <w:ind w:right="198"/>
                  <w:jc w:val="right"/>
                  <w:cnfStyle w:val="000000000000" w:firstRow="0" w:lastRow="0" w:firstColumn="0" w:lastColumn="0" w:oddVBand="0" w:evenVBand="0" w:oddHBand="0" w:evenHBand="0" w:firstRowFirstColumn="0" w:firstRowLastColumn="0" w:lastRowFirstColumn="0" w:lastRowLastColumn="0"/>
                  <w:rPr>
                    <w:sz w:val="16"/>
                  </w:rPr>
                </w:pPr>
                <w:r>
                  <w:rPr>
                    <w:color w:val="58595B"/>
                    <w:sz w:val="16"/>
                  </w:rPr>
                  <w:t>13</w:t>
                </w:r>
              </w:p>
            </w:tc>
            <w:tc>
              <w:tcPr>
                <w:cnfStyle w:val="000100000000" w:firstRow="0" w:lastRow="0" w:firstColumn="0" w:lastColumn="1" w:oddVBand="0" w:evenVBand="0" w:oddHBand="0" w:evenHBand="0" w:firstRowFirstColumn="0" w:firstRowLastColumn="0" w:lastRowFirstColumn="0" w:lastRowLastColumn="0"/>
                <w:tcW w:w="772" w:type="dxa"/>
              </w:tcPr>
              <w:p w14:paraId="0A01E97C" w14:textId="77777777" w:rsidR="00266C08" w:rsidRDefault="00266C08" w:rsidP="003B42C9">
                <w:pPr>
                  <w:pStyle w:val="TableParagraph"/>
                  <w:spacing w:before="15"/>
                  <w:ind w:right="198"/>
                  <w:jc w:val="right"/>
                  <w:rPr>
                    <w:color w:val="58595B"/>
                    <w:sz w:val="16"/>
                  </w:rPr>
                </w:pPr>
              </w:p>
            </w:tc>
          </w:tr>
          <w:tr w:rsidR="00266C08" w14:paraId="71CFD869" w14:textId="77777777" w:rsidTr="005C67FD">
            <w:trPr>
              <w:trHeight w:val="222"/>
            </w:trPr>
            <w:tc>
              <w:tcPr>
                <w:cnfStyle w:val="001000000000" w:firstRow="0" w:lastRow="0" w:firstColumn="1" w:lastColumn="0" w:oddVBand="0" w:evenVBand="0" w:oddHBand="0" w:evenHBand="0" w:firstRowFirstColumn="0" w:firstRowLastColumn="0" w:lastRowFirstColumn="0" w:lastRowLastColumn="0"/>
                <w:tcW w:w="6979" w:type="dxa"/>
              </w:tcPr>
              <w:p w14:paraId="714A9BAB" w14:textId="77777777" w:rsidR="00266C08" w:rsidRDefault="00266C08" w:rsidP="00266C08">
                <w:pPr>
                  <w:pStyle w:val="TableParagraph"/>
                  <w:spacing w:before="3" w:line="253" w:lineRule="exact"/>
                  <w:ind w:left="200"/>
                  <w:rPr>
                    <w:rFonts w:ascii="Verdana"/>
                    <w:b w:val="0"/>
                    <w:sz w:val="21"/>
                  </w:rPr>
                </w:pPr>
                <w:r w:rsidRPr="00FE181A">
                  <w:rPr>
                    <w:rFonts w:ascii="Verdana"/>
                    <w:b w:val="0"/>
                    <w:color w:val="B4D012"/>
                    <w:w w:val="85"/>
                    <w:sz w:val="21"/>
                  </w:rPr>
                  <w:t>Section 2: Access</w:t>
                </w:r>
              </w:p>
            </w:tc>
            <w:tc>
              <w:tcPr>
                <w:tcW w:w="772" w:type="dxa"/>
              </w:tcPr>
              <w:p w14:paraId="5642F1B8" w14:textId="1F69FB7F" w:rsidR="00266C08" w:rsidRDefault="005C67FD" w:rsidP="00266C08">
                <w:pPr>
                  <w:pStyle w:val="TableParagraph"/>
                  <w:spacing w:before="3" w:line="253" w:lineRule="exact"/>
                  <w:ind w:right="198"/>
                  <w:jc w:val="right"/>
                  <w:cnfStyle w:val="000000000000" w:firstRow="0" w:lastRow="0" w:firstColumn="0" w:lastColumn="0" w:oddVBand="0" w:evenVBand="0" w:oddHBand="0" w:evenHBand="0" w:firstRowFirstColumn="0" w:firstRowLastColumn="0" w:lastRowFirstColumn="0" w:lastRowLastColumn="0"/>
                  <w:rPr>
                    <w:rFonts w:ascii="Verdana"/>
                    <w:b/>
                    <w:sz w:val="21"/>
                  </w:rPr>
                </w:pPr>
                <w:r>
                  <w:rPr>
                    <w:rFonts w:ascii="Verdana"/>
                    <w:b/>
                    <w:color w:val="B4D012"/>
                    <w:w w:val="75"/>
                    <w:sz w:val="21"/>
                  </w:rPr>
                  <w:t>14</w:t>
                </w:r>
              </w:p>
            </w:tc>
            <w:tc>
              <w:tcPr>
                <w:cnfStyle w:val="000100000000" w:firstRow="0" w:lastRow="0" w:firstColumn="0" w:lastColumn="1" w:oddVBand="0" w:evenVBand="0" w:oddHBand="0" w:evenHBand="0" w:firstRowFirstColumn="0" w:firstRowLastColumn="0" w:lastRowFirstColumn="0" w:lastRowLastColumn="0"/>
                <w:tcW w:w="772" w:type="dxa"/>
              </w:tcPr>
              <w:p w14:paraId="614010C2" w14:textId="77777777" w:rsidR="00266C08" w:rsidRDefault="00266C08" w:rsidP="00266C08">
                <w:pPr>
                  <w:pStyle w:val="TableParagraph"/>
                  <w:spacing w:before="3" w:line="253" w:lineRule="exact"/>
                  <w:ind w:right="198"/>
                  <w:jc w:val="right"/>
                  <w:rPr>
                    <w:rFonts w:ascii="Verdana"/>
                    <w:b w:val="0"/>
                    <w:color w:val="B4D012"/>
                    <w:w w:val="75"/>
                    <w:sz w:val="21"/>
                  </w:rPr>
                </w:pPr>
              </w:p>
            </w:tc>
          </w:tr>
          <w:tr w:rsidR="00266C08" w14:paraId="0E338918" w14:textId="77777777" w:rsidTr="005C67FD">
            <w:trPr>
              <w:trHeight w:val="222"/>
            </w:trPr>
            <w:tc>
              <w:tcPr>
                <w:cnfStyle w:val="001000000000" w:firstRow="0" w:lastRow="0" w:firstColumn="1" w:lastColumn="0" w:oddVBand="0" w:evenVBand="0" w:oddHBand="0" w:evenHBand="0" w:firstRowFirstColumn="0" w:firstRowLastColumn="0" w:lastRowFirstColumn="0" w:lastRowLastColumn="0"/>
                <w:tcW w:w="6979" w:type="dxa"/>
              </w:tcPr>
              <w:p w14:paraId="4DAE309A" w14:textId="77777777" w:rsidR="00266C08" w:rsidRDefault="004C2EDA" w:rsidP="003B42C9">
                <w:pPr>
                  <w:pStyle w:val="TableParagraph"/>
                  <w:spacing w:before="15"/>
                  <w:ind w:left="200"/>
                  <w:rPr>
                    <w:sz w:val="16"/>
                  </w:rPr>
                </w:pPr>
                <w:r>
                  <w:rPr>
                    <w:b w:val="0"/>
                    <w:color w:val="58595B"/>
                    <w:sz w:val="16"/>
                  </w:rPr>
                  <w:t>Mode share</w:t>
                </w:r>
              </w:p>
            </w:tc>
            <w:tc>
              <w:tcPr>
                <w:tcW w:w="772" w:type="dxa"/>
              </w:tcPr>
              <w:p w14:paraId="2E8B528C" w14:textId="703D3CD9" w:rsidR="00266C08" w:rsidRDefault="005C67FD" w:rsidP="003B42C9">
                <w:pPr>
                  <w:pStyle w:val="TableParagraph"/>
                  <w:spacing w:before="15"/>
                  <w:ind w:right="198"/>
                  <w:jc w:val="right"/>
                  <w:cnfStyle w:val="000000000000" w:firstRow="0" w:lastRow="0" w:firstColumn="0" w:lastColumn="0" w:oddVBand="0" w:evenVBand="0" w:oddHBand="0" w:evenHBand="0" w:firstRowFirstColumn="0" w:firstRowLastColumn="0" w:lastRowFirstColumn="0" w:lastRowLastColumn="0"/>
                  <w:rPr>
                    <w:sz w:val="16"/>
                  </w:rPr>
                </w:pPr>
                <w:r>
                  <w:rPr>
                    <w:color w:val="58595B"/>
                    <w:sz w:val="16"/>
                  </w:rPr>
                  <w:t>14</w:t>
                </w:r>
              </w:p>
            </w:tc>
            <w:tc>
              <w:tcPr>
                <w:cnfStyle w:val="000100000000" w:firstRow="0" w:lastRow="0" w:firstColumn="0" w:lastColumn="1" w:oddVBand="0" w:evenVBand="0" w:oddHBand="0" w:evenHBand="0" w:firstRowFirstColumn="0" w:firstRowLastColumn="0" w:lastRowFirstColumn="0" w:lastRowLastColumn="0"/>
                <w:tcW w:w="772" w:type="dxa"/>
              </w:tcPr>
              <w:p w14:paraId="31EA8D17" w14:textId="77777777" w:rsidR="00266C08" w:rsidRDefault="00266C08" w:rsidP="003B42C9">
                <w:pPr>
                  <w:pStyle w:val="TableParagraph"/>
                  <w:spacing w:before="15"/>
                  <w:ind w:right="198"/>
                  <w:jc w:val="right"/>
                  <w:rPr>
                    <w:color w:val="58595B"/>
                    <w:sz w:val="16"/>
                  </w:rPr>
                </w:pPr>
              </w:p>
            </w:tc>
          </w:tr>
          <w:tr w:rsidR="00266C08" w14:paraId="3AE6E9B5" w14:textId="77777777" w:rsidTr="005C67FD">
            <w:trPr>
              <w:trHeight w:val="222"/>
            </w:trPr>
            <w:tc>
              <w:tcPr>
                <w:cnfStyle w:val="001000000000" w:firstRow="0" w:lastRow="0" w:firstColumn="1" w:lastColumn="0" w:oddVBand="0" w:evenVBand="0" w:oddHBand="0" w:evenHBand="0" w:firstRowFirstColumn="0" w:firstRowLastColumn="0" w:lastRowFirstColumn="0" w:lastRowLastColumn="0"/>
                <w:tcW w:w="6979" w:type="dxa"/>
              </w:tcPr>
              <w:p w14:paraId="6A1F1A1C" w14:textId="6A6B37B8" w:rsidR="00266C08" w:rsidRDefault="005C67FD" w:rsidP="003B42C9">
                <w:pPr>
                  <w:pStyle w:val="TableParagraph"/>
                  <w:spacing w:before="15"/>
                  <w:ind w:left="200"/>
                  <w:rPr>
                    <w:sz w:val="16"/>
                  </w:rPr>
                </w:pPr>
                <w:r>
                  <w:rPr>
                    <w:b w:val="0"/>
                    <w:color w:val="58595B"/>
                    <w:sz w:val="16"/>
                  </w:rPr>
                  <w:t>Investment in access</w:t>
                </w:r>
              </w:p>
            </w:tc>
            <w:tc>
              <w:tcPr>
                <w:tcW w:w="772" w:type="dxa"/>
              </w:tcPr>
              <w:p w14:paraId="46398D72" w14:textId="3D03348D" w:rsidR="00266C08" w:rsidRDefault="005C67FD" w:rsidP="003B42C9">
                <w:pPr>
                  <w:pStyle w:val="TableParagraph"/>
                  <w:spacing w:before="15"/>
                  <w:ind w:right="198"/>
                  <w:jc w:val="right"/>
                  <w:cnfStyle w:val="000000000000" w:firstRow="0" w:lastRow="0" w:firstColumn="0" w:lastColumn="0" w:oddVBand="0" w:evenVBand="0" w:oddHBand="0" w:evenHBand="0" w:firstRowFirstColumn="0" w:firstRowLastColumn="0" w:lastRowFirstColumn="0" w:lastRowLastColumn="0"/>
                  <w:rPr>
                    <w:sz w:val="16"/>
                  </w:rPr>
                </w:pPr>
                <w:r>
                  <w:rPr>
                    <w:color w:val="58595B"/>
                    <w:sz w:val="16"/>
                  </w:rPr>
                  <w:t>16</w:t>
                </w:r>
              </w:p>
            </w:tc>
            <w:tc>
              <w:tcPr>
                <w:cnfStyle w:val="000100000000" w:firstRow="0" w:lastRow="0" w:firstColumn="0" w:lastColumn="1" w:oddVBand="0" w:evenVBand="0" w:oddHBand="0" w:evenHBand="0" w:firstRowFirstColumn="0" w:firstRowLastColumn="0" w:lastRowFirstColumn="0" w:lastRowLastColumn="0"/>
                <w:tcW w:w="772" w:type="dxa"/>
              </w:tcPr>
              <w:p w14:paraId="28F4301F" w14:textId="77777777" w:rsidR="00266C08" w:rsidRDefault="00266C08" w:rsidP="003B42C9">
                <w:pPr>
                  <w:pStyle w:val="TableParagraph"/>
                  <w:spacing w:before="15"/>
                  <w:ind w:right="198"/>
                  <w:jc w:val="right"/>
                  <w:rPr>
                    <w:color w:val="58595B"/>
                    <w:sz w:val="16"/>
                  </w:rPr>
                </w:pPr>
              </w:p>
            </w:tc>
          </w:tr>
          <w:tr w:rsidR="004C2EDA" w14:paraId="2414665C" w14:textId="77777777" w:rsidTr="005C67FD">
            <w:trPr>
              <w:trHeight w:val="222"/>
            </w:trPr>
            <w:tc>
              <w:tcPr>
                <w:cnfStyle w:val="001000000000" w:firstRow="0" w:lastRow="0" w:firstColumn="1" w:lastColumn="0" w:oddVBand="0" w:evenVBand="0" w:oddHBand="0" w:evenHBand="0" w:firstRowFirstColumn="0" w:firstRowLastColumn="0" w:lastRowFirstColumn="0" w:lastRowLastColumn="0"/>
                <w:tcW w:w="6979" w:type="dxa"/>
              </w:tcPr>
              <w:p w14:paraId="47A0936E" w14:textId="05BF86E5" w:rsidR="004C2EDA" w:rsidRDefault="005C67FD" w:rsidP="003B42C9">
                <w:pPr>
                  <w:pStyle w:val="TableParagraph"/>
                  <w:spacing w:before="15"/>
                  <w:ind w:left="200"/>
                  <w:rPr>
                    <w:b w:val="0"/>
                    <w:color w:val="58595B"/>
                    <w:sz w:val="16"/>
                  </w:rPr>
                </w:pPr>
                <w:r>
                  <w:rPr>
                    <w:b w:val="0"/>
                    <w:color w:val="58595B"/>
                    <w:sz w:val="16"/>
                  </w:rPr>
                  <w:t>Active modes</w:t>
                </w:r>
              </w:p>
            </w:tc>
            <w:tc>
              <w:tcPr>
                <w:tcW w:w="772" w:type="dxa"/>
              </w:tcPr>
              <w:p w14:paraId="7644B228" w14:textId="77777777" w:rsidR="004C2EDA" w:rsidRDefault="00A403B0" w:rsidP="003B42C9">
                <w:pPr>
                  <w:pStyle w:val="TableParagraph"/>
                  <w:spacing w:before="15"/>
                  <w:ind w:right="198"/>
                  <w:jc w:val="right"/>
                  <w:cnfStyle w:val="000000000000" w:firstRow="0" w:lastRow="0" w:firstColumn="0" w:lastColumn="0" w:oddVBand="0" w:evenVBand="0" w:oddHBand="0" w:evenHBand="0" w:firstRowFirstColumn="0" w:firstRowLastColumn="0" w:lastRowFirstColumn="0" w:lastRowLastColumn="0"/>
                  <w:rPr>
                    <w:color w:val="58595B"/>
                    <w:sz w:val="16"/>
                  </w:rPr>
                </w:pPr>
                <w:r>
                  <w:rPr>
                    <w:color w:val="58595B"/>
                    <w:sz w:val="16"/>
                  </w:rPr>
                  <w:t>16</w:t>
                </w:r>
              </w:p>
            </w:tc>
            <w:tc>
              <w:tcPr>
                <w:cnfStyle w:val="000100000000" w:firstRow="0" w:lastRow="0" w:firstColumn="0" w:lastColumn="1" w:oddVBand="0" w:evenVBand="0" w:oddHBand="0" w:evenHBand="0" w:firstRowFirstColumn="0" w:firstRowLastColumn="0" w:lastRowFirstColumn="0" w:lastRowLastColumn="0"/>
                <w:tcW w:w="772" w:type="dxa"/>
              </w:tcPr>
              <w:p w14:paraId="4473A882" w14:textId="77777777" w:rsidR="004C2EDA" w:rsidRDefault="004C2EDA" w:rsidP="003B42C9">
                <w:pPr>
                  <w:pStyle w:val="TableParagraph"/>
                  <w:spacing w:before="15"/>
                  <w:ind w:right="198"/>
                  <w:jc w:val="right"/>
                  <w:rPr>
                    <w:color w:val="58595B"/>
                    <w:sz w:val="16"/>
                  </w:rPr>
                </w:pPr>
              </w:p>
            </w:tc>
          </w:tr>
          <w:tr w:rsidR="004C2EDA" w14:paraId="3EEE7255" w14:textId="77777777" w:rsidTr="005C67FD">
            <w:trPr>
              <w:trHeight w:val="222"/>
            </w:trPr>
            <w:tc>
              <w:tcPr>
                <w:cnfStyle w:val="001000000000" w:firstRow="0" w:lastRow="0" w:firstColumn="1" w:lastColumn="0" w:oddVBand="0" w:evenVBand="0" w:oddHBand="0" w:evenHBand="0" w:firstRowFirstColumn="0" w:firstRowLastColumn="0" w:lastRowFirstColumn="0" w:lastRowLastColumn="0"/>
                <w:tcW w:w="6979" w:type="dxa"/>
              </w:tcPr>
              <w:p w14:paraId="3DA796D0" w14:textId="1EF55A0D" w:rsidR="004C2EDA" w:rsidRDefault="005C67FD" w:rsidP="003B42C9">
                <w:pPr>
                  <w:pStyle w:val="TableParagraph"/>
                  <w:spacing w:before="15"/>
                  <w:ind w:left="200"/>
                  <w:rPr>
                    <w:b w:val="0"/>
                    <w:color w:val="58595B"/>
                    <w:sz w:val="16"/>
                  </w:rPr>
                </w:pPr>
                <w:r>
                  <w:rPr>
                    <w:b w:val="0"/>
                    <w:color w:val="58595B"/>
                    <w:sz w:val="16"/>
                  </w:rPr>
                  <w:t>Count data (walking and cycling)</w:t>
                </w:r>
              </w:p>
            </w:tc>
            <w:tc>
              <w:tcPr>
                <w:tcW w:w="772" w:type="dxa"/>
              </w:tcPr>
              <w:p w14:paraId="615176A9" w14:textId="799F85C5" w:rsidR="004C2EDA" w:rsidRDefault="005C67FD" w:rsidP="003B42C9">
                <w:pPr>
                  <w:pStyle w:val="TableParagraph"/>
                  <w:spacing w:before="15"/>
                  <w:ind w:right="198"/>
                  <w:jc w:val="right"/>
                  <w:cnfStyle w:val="000000000000" w:firstRow="0" w:lastRow="0" w:firstColumn="0" w:lastColumn="0" w:oddVBand="0" w:evenVBand="0" w:oddHBand="0" w:evenHBand="0" w:firstRowFirstColumn="0" w:firstRowLastColumn="0" w:lastRowFirstColumn="0" w:lastRowLastColumn="0"/>
                  <w:rPr>
                    <w:color w:val="58595B"/>
                    <w:sz w:val="16"/>
                  </w:rPr>
                </w:pPr>
                <w:r>
                  <w:rPr>
                    <w:color w:val="58595B"/>
                    <w:sz w:val="16"/>
                  </w:rPr>
                  <w:t>17</w:t>
                </w:r>
              </w:p>
            </w:tc>
            <w:tc>
              <w:tcPr>
                <w:cnfStyle w:val="000100000000" w:firstRow="0" w:lastRow="0" w:firstColumn="0" w:lastColumn="1" w:oddVBand="0" w:evenVBand="0" w:oddHBand="0" w:evenHBand="0" w:firstRowFirstColumn="0" w:firstRowLastColumn="0" w:lastRowFirstColumn="0" w:lastRowLastColumn="0"/>
                <w:tcW w:w="772" w:type="dxa"/>
              </w:tcPr>
              <w:p w14:paraId="0D422E14" w14:textId="77777777" w:rsidR="004C2EDA" w:rsidRDefault="004C2EDA" w:rsidP="003B42C9">
                <w:pPr>
                  <w:pStyle w:val="TableParagraph"/>
                  <w:spacing w:before="15"/>
                  <w:ind w:right="198"/>
                  <w:jc w:val="right"/>
                  <w:rPr>
                    <w:color w:val="58595B"/>
                    <w:sz w:val="16"/>
                  </w:rPr>
                </w:pPr>
              </w:p>
            </w:tc>
          </w:tr>
          <w:tr w:rsidR="004C2EDA" w14:paraId="0447F30D" w14:textId="77777777" w:rsidTr="005C67FD">
            <w:trPr>
              <w:trHeight w:val="222"/>
            </w:trPr>
            <w:tc>
              <w:tcPr>
                <w:cnfStyle w:val="001000000000" w:firstRow="0" w:lastRow="0" w:firstColumn="1" w:lastColumn="0" w:oddVBand="0" w:evenVBand="0" w:oddHBand="0" w:evenHBand="0" w:firstRowFirstColumn="0" w:firstRowLastColumn="0" w:lastRowFirstColumn="0" w:lastRowLastColumn="0"/>
                <w:tcW w:w="6979" w:type="dxa"/>
              </w:tcPr>
              <w:p w14:paraId="5CA50224" w14:textId="5822AE5B" w:rsidR="004C2EDA" w:rsidRDefault="005C67FD" w:rsidP="003B42C9">
                <w:pPr>
                  <w:pStyle w:val="TableParagraph"/>
                  <w:spacing w:before="15"/>
                  <w:ind w:left="200"/>
                  <w:rPr>
                    <w:b w:val="0"/>
                    <w:color w:val="58595B"/>
                    <w:sz w:val="16"/>
                  </w:rPr>
                </w:pPr>
                <w:r>
                  <w:rPr>
                    <w:b w:val="0"/>
                    <w:color w:val="58595B"/>
                    <w:sz w:val="16"/>
                  </w:rPr>
                  <w:t>Public Transport</w:t>
                </w:r>
              </w:p>
            </w:tc>
            <w:tc>
              <w:tcPr>
                <w:tcW w:w="772" w:type="dxa"/>
              </w:tcPr>
              <w:p w14:paraId="4150020F" w14:textId="0076A5E8" w:rsidR="004C2EDA" w:rsidRDefault="005C67FD" w:rsidP="003B42C9">
                <w:pPr>
                  <w:pStyle w:val="TableParagraph"/>
                  <w:spacing w:before="15"/>
                  <w:ind w:right="198"/>
                  <w:jc w:val="right"/>
                  <w:cnfStyle w:val="000000000000" w:firstRow="0" w:lastRow="0" w:firstColumn="0" w:lastColumn="0" w:oddVBand="0" w:evenVBand="0" w:oddHBand="0" w:evenHBand="0" w:firstRowFirstColumn="0" w:firstRowLastColumn="0" w:lastRowFirstColumn="0" w:lastRowLastColumn="0"/>
                  <w:rPr>
                    <w:color w:val="58595B"/>
                    <w:sz w:val="16"/>
                  </w:rPr>
                </w:pPr>
                <w:r>
                  <w:rPr>
                    <w:color w:val="58595B"/>
                    <w:sz w:val="16"/>
                  </w:rPr>
                  <w:t>18</w:t>
                </w:r>
              </w:p>
            </w:tc>
            <w:tc>
              <w:tcPr>
                <w:cnfStyle w:val="000100000000" w:firstRow="0" w:lastRow="0" w:firstColumn="0" w:lastColumn="1" w:oddVBand="0" w:evenVBand="0" w:oddHBand="0" w:evenHBand="0" w:firstRowFirstColumn="0" w:firstRowLastColumn="0" w:lastRowFirstColumn="0" w:lastRowLastColumn="0"/>
                <w:tcW w:w="772" w:type="dxa"/>
              </w:tcPr>
              <w:p w14:paraId="356BD144" w14:textId="77777777" w:rsidR="004C2EDA" w:rsidRDefault="004C2EDA" w:rsidP="003B42C9">
                <w:pPr>
                  <w:pStyle w:val="TableParagraph"/>
                  <w:spacing w:before="15"/>
                  <w:ind w:right="198"/>
                  <w:jc w:val="right"/>
                  <w:rPr>
                    <w:color w:val="58595B"/>
                    <w:sz w:val="16"/>
                  </w:rPr>
                </w:pPr>
              </w:p>
            </w:tc>
          </w:tr>
          <w:tr w:rsidR="004C2EDA" w14:paraId="44DBDA0A" w14:textId="77777777" w:rsidTr="005C67FD">
            <w:trPr>
              <w:trHeight w:val="222"/>
            </w:trPr>
            <w:tc>
              <w:tcPr>
                <w:cnfStyle w:val="001000000000" w:firstRow="0" w:lastRow="0" w:firstColumn="1" w:lastColumn="0" w:oddVBand="0" w:evenVBand="0" w:oddHBand="0" w:evenHBand="0" w:firstRowFirstColumn="0" w:firstRowLastColumn="0" w:lastRowFirstColumn="0" w:lastRowLastColumn="0"/>
                <w:tcW w:w="6979" w:type="dxa"/>
              </w:tcPr>
              <w:p w14:paraId="5743E8ED" w14:textId="1C7541AE" w:rsidR="004C2EDA" w:rsidRDefault="005C67FD" w:rsidP="003B42C9">
                <w:pPr>
                  <w:pStyle w:val="TableParagraph"/>
                  <w:spacing w:before="15"/>
                  <w:ind w:left="200"/>
                  <w:rPr>
                    <w:b w:val="0"/>
                    <w:color w:val="58595B"/>
                    <w:sz w:val="16"/>
                  </w:rPr>
                </w:pPr>
                <w:r>
                  <w:rPr>
                    <w:b w:val="0"/>
                    <w:color w:val="58595B"/>
                    <w:sz w:val="16"/>
                  </w:rPr>
                  <w:t xml:space="preserve">Specialised services </w:t>
                </w:r>
                <w:r w:rsidR="004C2EDA">
                  <w:rPr>
                    <w:b w:val="0"/>
                    <w:color w:val="58595B"/>
                    <w:sz w:val="16"/>
                  </w:rPr>
                  <w:t xml:space="preserve"> </w:t>
                </w:r>
              </w:p>
            </w:tc>
            <w:tc>
              <w:tcPr>
                <w:tcW w:w="772" w:type="dxa"/>
              </w:tcPr>
              <w:p w14:paraId="634BB692" w14:textId="575564EB" w:rsidR="004C2EDA" w:rsidRDefault="005C67FD" w:rsidP="003B42C9">
                <w:pPr>
                  <w:pStyle w:val="TableParagraph"/>
                  <w:spacing w:before="15"/>
                  <w:ind w:right="198"/>
                  <w:jc w:val="right"/>
                  <w:cnfStyle w:val="000000000000" w:firstRow="0" w:lastRow="0" w:firstColumn="0" w:lastColumn="0" w:oddVBand="0" w:evenVBand="0" w:oddHBand="0" w:evenHBand="0" w:firstRowFirstColumn="0" w:firstRowLastColumn="0" w:lastRowFirstColumn="0" w:lastRowLastColumn="0"/>
                  <w:rPr>
                    <w:color w:val="58595B"/>
                    <w:sz w:val="16"/>
                  </w:rPr>
                </w:pPr>
                <w:r>
                  <w:rPr>
                    <w:color w:val="58595B"/>
                    <w:sz w:val="16"/>
                  </w:rPr>
                  <w:t>22</w:t>
                </w:r>
              </w:p>
            </w:tc>
            <w:tc>
              <w:tcPr>
                <w:cnfStyle w:val="000100000000" w:firstRow="0" w:lastRow="0" w:firstColumn="0" w:lastColumn="1" w:oddVBand="0" w:evenVBand="0" w:oddHBand="0" w:evenHBand="0" w:firstRowFirstColumn="0" w:firstRowLastColumn="0" w:lastRowFirstColumn="0" w:lastRowLastColumn="0"/>
                <w:tcW w:w="772" w:type="dxa"/>
              </w:tcPr>
              <w:p w14:paraId="6AA7DD26" w14:textId="77777777" w:rsidR="004C2EDA" w:rsidRDefault="004C2EDA" w:rsidP="003B42C9">
                <w:pPr>
                  <w:pStyle w:val="TableParagraph"/>
                  <w:spacing w:before="15"/>
                  <w:ind w:right="198"/>
                  <w:jc w:val="right"/>
                  <w:rPr>
                    <w:color w:val="58595B"/>
                    <w:sz w:val="16"/>
                  </w:rPr>
                </w:pPr>
              </w:p>
            </w:tc>
          </w:tr>
          <w:tr w:rsidR="004C2EDA" w14:paraId="06B7DEFA" w14:textId="77777777" w:rsidTr="005C67FD">
            <w:trPr>
              <w:trHeight w:val="222"/>
            </w:trPr>
            <w:tc>
              <w:tcPr>
                <w:cnfStyle w:val="001000000000" w:firstRow="0" w:lastRow="0" w:firstColumn="1" w:lastColumn="0" w:oddVBand="0" w:evenVBand="0" w:oddHBand="0" w:evenHBand="0" w:firstRowFirstColumn="0" w:firstRowLastColumn="0" w:lastRowFirstColumn="0" w:lastRowLastColumn="0"/>
                <w:tcW w:w="6979" w:type="dxa"/>
              </w:tcPr>
              <w:p w14:paraId="4148864D" w14:textId="52A3E610" w:rsidR="004C2EDA" w:rsidRDefault="005C67FD" w:rsidP="003B42C9">
                <w:pPr>
                  <w:pStyle w:val="TableParagraph"/>
                  <w:spacing w:before="15"/>
                  <w:ind w:left="200"/>
                  <w:rPr>
                    <w:b w:val="0"/>
                    <w:color w:val="58595B"/>
                    <w:sz w:val="16"/>
                  </w:rPr>
                </w:pPr>
                <w:r>
                  <w:rPr>
                    <w:b w:val="0"/>
                    <w:color w:val="58595B"/>
                    <w:sz w:val="16"/>
                  </w:rPr>
                  <w:t>Access to social and economic opportunities</w:t>
                </w:r>
              </w:p>
            </w:tc>
            <w:tc>
              <w:tcPr>
                <w:tcW w:w="772" w:type="dxa"/>
              </w:tcPr>
              <w:p w14:paraId="16551B8E" w14:textId="19222CB4" w:rsidR="004C2EDA" w:rsidRDefault="005C67FD" w:rsidP="003B42C9">
                <w:pPr>
                  <w:pStyle w:val="TableParagraph"/>
                  <w:spacing w:before="15"/>
                  <w:ind w:right="198"/>
                  <w:jc w:val="right"/>
                  <w:cnfStyle w:val="000000000000" w:firstRow="0" w:lastRow="0" w:firstColumn="0" w:lastColumn="0" w:oddVBand="0" w:evenVBand="0" w:oddHBand="0" w:evenHBand="0" w:firstRowFirstColumn="0" w:firstRowLastColumn="0" w:lastRowFirstColumn="0" w:lastRowLastColumn="0"/>
                  <w:rPr>
                    <w:color w:val="58595B"/>
                    <w:sz w:val="16"/>
                  </w:rPr>
                </w:pPr>
                <w:r>
                  <w:rPr>
                    <w:color w:val="58595B"/>
                    <w:sz w:val="16"/>
                  </w:rPr>
                  <w:t>23</w:t>
                </w:r>
              </w:p>
            </w:tc>
            <w:tc>
              <w:tcPr>
                <w:cnfStyle w:val="000100000000" w:firstRow="0" w:lastRow="0" w:firstColumn="0" w:lastColumn="1" w:oddVBand="0" w:evenVBand="0" w:oddHBand="0" w:evenHBand="0" w:firstRowFirstColumn="0" w:firstRowLastColumn="0" w:lastRowFirstColumn="0" w:lastRowLastColumn="0"/>
                <w:tcW w:w="772" w:type="dxa"/>
              </w:tcPr>
              <w:p w14:paraId="5A0ED96C" w14:textId="77777777" w:rsidR="004C2EDA" w:rsidRDefault="004C2EDA" w:rsidP="003B42C9">
                <w:pPr>
                  <w:pStyle w:val="TableParagraph"/>
                  <w:spacing w:before="15"/>
                  <w:ind w:right="198"/>
                  <w:jc w:val="right"/>
                  <w:rPr>
                    <w:color w:val="58595B"/>
                    <w:sz w:val="16"/>
                  </w:rPr>
                </w:pPr>
              </w:p>
            </w:tc>
          </w:tr>
          <w:tr w:rsidR="004C2EDA" w14:paraId="7A3459A2" w14:textId="77777777" w:rsidTr="005C67FD">
            <w:trPr>
              <w:trHeight w:val="222"/>
            </w:trPr>
            <w:tc>
              <w:tcPr>
                <w:cnfStyle w:val="001000000000" w:firstRow="0" w:lastRow="0" w:firstColumn="1" w:lastColumn="0" w:oddVBand="0" w:evenVBand="0" w:oddHBand="0" w:evenHBand="0" w:firstRowFirstColumn="0" w:firstRowLastColumn="0" w:lastRowFirstColumn="0" w:lastRowLastColumn="0"/>
                <w:tcW w:w="6979" w:type="dxa"/>
              </w:tcPr>
              <w:p w14:paraId="56F1CF05" w14:textId="209B7ABB" w:rsidR="004C2EDA" w:rsidRDefault="005C67FD" w:rsidP="003B42C9">
                <w:pPr>
                  <w:pStyle w:val="TableParagraph"/>
                  <w:spacing w:before="15"/>
                  <w:ind w:left="200"/>
                  <w:rPr>
                    <w:b w:val="0"/>
                    <w:color w:val="58595B"/>
                    <w:sz w:val="16"/>
                  </w:rPr>
                </w:pPr>
                <w:r>
                  <w:rPr>
                    <w:b w:val="0"/>
                    <w:color w:val="58595B"/>
                    <w:sz w:val="16"/>
                  </w:rPr>
                  <w:t>Network resilience</w:t>
                </w:r>
              </w:p>
            </w:tc>
            <w:tc>
              <w:tcPr>
                <w:tcW w:w="772" w:type="dxa"/>
              </w:tcPr>
              <w:p w14:paraId="159FE77C" w14:textId="733C2FCA" w:rsidR="004C2EDA" w:rsidRDefault="005C67FD" w:rsidP="003B42C9">
                <w:pPr>
                  <w:pStyle w:val="TableParagraph"/>
                  <w:spacing w:before="15"/>
                  <w:ind w:right="198"/>
                  <w:jc w:val="right"/>
                  <w:cnfStyle w:val="000000000000" w:firstRow="0" w:lastRow="0" w:firstColumn="0" w:lastColumn="0" w:oddVBand="0" w:evenVBand="0" w:oddHBand="0" w:evenHBand="0" w:firstRowFirstColumn="0" w:firstRowLastColumn="0" w:lastRowFirstColumn="0" w:lastRowLastColumn="0"/>
                  <w:rPr>
                    <w:color w:val="58595B"/>
                    <w:sz w:val="16"/>
                  </w:rPr>
                </w:pPr>
                <w:r>
                  <w:rPr>
                    <w:color w:val="58595B"/>
                    <w:sz w:val="16"/>
                  </w:rPr>
                  <w:t>27</w:t>
                </w:r>
              </w:p>
            </w:tc>
            <w:tc>
              <w:tcPr>
                <w:cnfStyle w:val="000100000000" w:firstRow="0" w:lastRow="0" w:firstColumn="0" w:lastColumn="1" w:oddVBand="0" w:evenVBand="0" w:oddHBand="0" w:evenHBand="0" w:firstRowFirstColumn="0" w:firstRowLastColumn="0" w:lastRowFirstColumn="0" w:lastRowLastColumn="0"/>
                <w:tcW w:w="772" w:type="dxa"/>
              </w:tcPr>
              <w:p w14:paraId="32802C68" w14:textId="77777777" w:rsidR="004C2EDA" w:rsidRDefault="004C2EDA" w:rsidP="003B42C9">
                <w:pPr>
                  <w:pStyle w:val="TableParagraph"/>
                  <w:spacing w:before="15"/>
                  <w:ind w:right="198"/>
                  <w:jc w:val="right"/>
                  <w:rPr>
                    <w:color w:val="58595B"/>
                    <w:sz w:val="16"/>
                  </w:rPr>
                </w:pPr>
              </w:p>
            </w:tc>
          </w:tr>
          <w:tr w:rsidR="00266C08" w14:paraId="4D900FBB" w14:textId="77777777" w:rsidTr="005C67FD">
            <w:trPr>
              <w:trHeight w:val="275"/>
            </w:trPr>
            <w:tc>
              <w:tcPr>
                <w:cnfStyle w:val="001000000000" w:firstRow="0" w:lastRow="0" w:firstColumn="1" w:lastColumn="0" w:oddVBand="0" w:evenVBand="0" w:oddHBand="0" w:evenHBand="0" w:firstRowFirstColumn="0" w:firstRowLastColumn="0" w:lastRowFirstColumn="0" w:lastRowLastColumn="0"/>
                <w:tcW w:w="6979" w:type="dxa"/>
              </w:tcPr>
              <w:p w14:paraId="455FA379" w14:textId="77777777" w:rsidR="00266C08" w:rsidRDefault="00266C08" w:rsidP="00FE181A">
                <w:pPr>
                  <w:pStyle w:val="TableParagraph"/>
                  <w:spacing w:before="3" w:line="253" w:lineRule="exact"/>
                  <w:ind w:left="200"/>
                  <w:rPr>
                    <w:rFonts w:ascii="Verdana"/>
                    <w:b w:val="0"/>
                    <w:sz w:val="21"/>
                  </w:rPr>
                </w:pPr>
                <w:r>
                  <w:rPr>
                    <w:rFonts w:ascii="Verdana"/>
                    <w:b w:val="0"/>
                    <w:color w:val="00B6F1"/>
                    <w:w w:val="85"/>
                    <w:sz w:val="21"/>
                  </w:rPr>
                  <w:t>Section 3: Environment</w:t>
                </w:r>
              </w:p>
            </w:tc>
            <w:tc>
              <w:tcPr>
                <w:tcW w:w="772" w:type="dxa"/>
              </w:tcPr>
              <w:p w14:paraId="010F2A1C" w14:textId="4DC9CC8C" w:rsidR="00266C08" w:rsidRDefault="005C67FD" w:rsidP="003B42C9">
                <w:pPr>
                  <w:pStyle w:val="TableParagraph"/>
                  <w:spacing w:before="3" w:line="253" w:lineRule="exact"/>
                  <w:ind w:right="198"/>
                  <w:jc w:val="right"/>
                  <w:cnfStyle w:val="000000000000" w:firstRow="0" w:lastRow="0" w:firstColumn="0" w:lastColumn="0" w:oddVBand="0" w:evenVBand="0" w:oddHBand="0" w:evenHBand="0" w:firstRowFirstColumn="0" w:firstRowLastColumn="0" w:lastRowFirstColumn="0" w:lastRowLastColumn="0"/>
                  <w:rPr>
                    <w:rFonts w:ascii="Verdana"/>
                    <w:b/>
                    <w:sz w:val="21"/>
                  </w:rPr>
                </w:pPr>
                <w:r>
                  <w:rPr>
                    <w:rFonts w:ascii="Verdana"/>
                    <w:b/>
                    <w:color w:val="00B6F1"/>
                    <w:w w:val="75"/>
                    <w:sz w:val="21"/>
                  </w:rPr>
                  <w:t>30</w:t>
                </w:r>
              </w:p>
            </w:tc>
            <w:tc>
              <w:tcPr>
                <w:cnfStyle w:val="000100000000" w:firstRow="0" w:lastRow="0" w:firstColumn="0" w:lastColumn="1" w:oddVBand="0" w:evenVBand="0" w:oddHBand="0" w:evenHBand="0" w:firstRowFirstColumn="0" w:firstRowLastColumn="0" w:lastRowFirstColumn="0" w:lastRowLastColumn="0"/>
                <w:tcW w:w="772" w:type="dxa"/>
              </w:tcPr>
              <w:p w14:paraId="3DCF1CC9" w14:textId="77777777" w:rsidR="00266C08" w:rsidRDefault="00266C08" w:rsidP="003B42C9">
                <w:pPr>
                  <w:pStyle w:val="TableParagraph"/>
                  <w:spacing w:before="3" w:line="253" w:lineRule="exact"/>
                  <w:ind w:right="198"/>
                  <w:jc w:val="right"/>
                  <w:rPr>
                    <w:rFonts w:ascii="Verdana"/>
                    <w:b w:val="0"/>
                    <w:color w:val="00B6F1"/>
                    <w:w w:val="75"/>
                    <w:sz w:val="21"/>
                  </w:rPr>
                </w:pPr>
              </w:p>
            </w:tc>
          </w:tr>
          <w:tr w:rsidR="00266C08" w14:paraId="46C59B59" w14:textId="77777777" w:rsidTr="005C67FD">
            <w:trPr>
              <w:trHeight w:val="216"/>
            </w:trPr>
            <w:tc>
              <w:tcPr>
                <w:cnfStyle w:val="001000000000" w:firstRow="0" w:lastRow="0" w:firstColumn="1" w:lastColumn="0" w:oddVBand="0" w:evenVBand="0" w:oddHBand="0" w:evenHBand="0" w:firstRowFirstColumn="0" w:firstRowLastColumn="0" w:lastRowFirstColumn="0" w:lastRowLastColumn="0"/>
                <w:tcW w:w="6979" w:type="dxa"/>
              </w:tcPr>
              <w:p w14:paraId="2AB84D87" w14:textId="259800BD" w:rsidR="00266C08" w:rsidRDefault="005C67FD" w:rsidP="003B42C9">
                <w:pPr>
                  <w:pStyle w:val="TableParagraph"/>
                  <w:spacing w:before="10"/>
                  <w:ind w:left="200"/>
                  <w:rPr>
                    <w:sz w:val="16"/>
                  </w:rPr>
                </w:pPr>
                <w:r>
                  <w:rPr>
                    <w:b w:val="0"/>
                    <w:color w:val="58595B"/>
                    <w:sz w:val="16"/>
                  </w:rPr>
                  <w:t>Greenhouse gases</w:t>
                </w:r>
              </w:p>
            </w:tc>
            <w:tc>
              <w:tcPr>
                <w:tcW w:w="772" w:type="dxa"/>
              </w:tcPr>
              <w:p w14:paraId="7B8310A7" w14:textId="09FD83B2" w:rsidR="00266C08" w:rsidRDefault="005C67FD" w:rsidP="003B42C9">
                <w:pPr>
                  <w:pStyle w:val="TableParagraph"/>
                  <w:spacing w:before="10"/>
                  <w:ind w:right="198"/>
                  <w:jc w:val="right"/>
                  <w:cnfStyle w:val="000000000000" w:firstRow="0" w:lastRow="0" w:firstColumn="0" w:lastColumn="0" w:oddVBand="0" w:evenVBand="0" w:oddHBand="0" w:evenHBand="0" w:firstRowFirstColumn="0" w:firstRowLastColumn="0" w:lastRowFirstColumn="0" w:lastRowLastColumn="0"/>
                  <w:rPr>
                    <w:sz w:val="16"/>
                  </w:rPr>
                </w:pPr>
                <w:r>
                  <w:rPr>
                    <w:color w:val="58595B"/>
                    <w:sz w:val="16"/>
                  </w:rPr>
                  <w:t>30</w:t>
                </w:r>
              </w:p>
            </w:tc>
            <w:tc>
              <w:tcPr>
                <w:cnfStyle w:val="000100000000" w:firstRow="0" w:lastRow="0" w:firstColumn="0" w:lastColumn="1" w:oddVBand="0" w:evenVBand="0" w:oddHBand="0" w:evenHBand="0" w:firstRowFirstColumn="0" w:firstRowLastColumn="0" w:lastRowFirstColumn="0" w:lastRowLastColumn="0"/>
                <w:tcW w:w="772" w:type="dxa"/>
              </w:tcPr>
              <w:p w14:paraId="6E22C3FC" w14:textId="77777777" w:rsidR="00266C08" w:rsidRDefault="00266C08" w:rsidP="003B42C9">
                <w:pPr>
                  <w:pStyle w:val="TableParagraph"/>
                  <w:spacing w:before="10"/>
                  <w:ind w:right="198"/>
                  <w:jc w:val="right"/>
                  <w:rPr>
                    <w:color w:val="58595B"/>
                    <w:sz w:val="16"/>
                  </w:rPr>
                </w:pPr>
              </w:p>
            </w:tc>
          </w:tr>
          <w:tr w:rsidR="00266C08" w14:paraId="593DF0AD" w14:textId="77777777" w:rsidTr="005C67FD">
            <w:trPr>
              <w:trHeight w:val="222"/>
            </w:trPr>
            <w:tc>
              <w:tcPr>
                <w:cnfStyle w:val="001000000000" w:firstRow="0" w:lastRow="0" w:firstColumn="1" w:lastColumn="0" w:oddVBand="0" w:evenVBand="0" w:oddHBand="0" w:evenHBand="0" w:firstRowFirstColumn="0" w:firstRowLastColumn="0" w:lastRowFirstColumn="0" w:lastRowLastColumn="0"/>
                <w:tcW w:w="6979" w:type="dxa"/>
              </w:tcPr>
              <w:p w14:paraId="25E58877" w14:textId="77777777" w:rsidR="00266C08" w:rsidRDefault="004C2EDA" w:rsidP="003B42C9">
                <w:pPr>
                  <w:pStyle w:val="TableParagraph"/>
                  <w:spacing w:before="15"/>
                  <w:ind w:left="200"/>
                  <w:rPr>
                    <w:sz w:val="16"/>
                  </w:rPr>
                </w:pPr>
                <w:r>
                  <w:rPr>
                    <w:b w:val="0"/>
                    <w:color w:val="58595B"/>
                    <w:sz w:val="16"/>
                  </w:rPr>
                  <w:t>Harmful emissions</w:t>
                </w:r>
              </w:p>
            </w:tc>
            <w:tc>
              <w:tcPr>
                <w:tcW w:w="772" w:type="dxa"/>
              </w:tcPr>
              <w:p w14:paraId="71B0FC9E" w14:textId="3D1959B2" w:rsidR="00266C08" w:rsidRDefault="005C67FD" w:rsidP="003B42C9">
                <w:pPr>
                  <w:pStyle w:val="TableParagraph"/>
                  <w:spacing w:before="15"/>
                  <w:ind w:right="198"/>
                  <w:jc w:val="right"/>
                  <w:cnfStyle w:val="000000000000" w:firstRow="0" w:lastRow="0" w:firstColumn="0" w:lastColumn="0" w:oddVBand="0" w:evenVBand="0" w:oddHBand="0" w:evenHBand="0" w:firstRowFirstColumn="0" w:firstRowLastColumn="0" w:lastRowFirstColumn="0" w:lastRowLastColumn="0"/>
                  <w:rPr>
                    <w:sz w:val="16"/>
                  </w:rPr>
                </w:pPr>
                <w:r>
                  <w:rPr>
                    <w:color w:val="58595B"/>
                    <w:sz w:val="16"/>
                  </w:rPr>
                  <w:t>31</w:t>
                </w:r>
              </w:p>
            </w:tc>
            <w:tc>
              <w:tcPr>
                <w:cnfStyle w:val="000100000000" w:firstRow="0" w:lastRow="0" w:firstColumn="0" w:lastColumn="1" w:oddVBand="0" w:evenVBand="0" w:oddHBand="0" w:evenHBand="0" w:firstRowFirstColumn="0" w:firstRowLastColumn="0" w:lastRowFirstColumn="0" w:lastRowLastColumn="0"/>
                <w:tcW w:w="772" w:type="dxa"/>
              </w:tcPr>
              <w:p w14:paraId="2DD82CDD" w14:textId="77777777" w:rsidR="00266C08" w:rsidRDefault="00266C08" w:rsidP="003B42C9">
                <w:pPr>
                  <w:pStyle w:val="TableParagraph"/>
                  <w:spacing w:before="15"/>
                  <w:ind w:right="198"/>
                  <w:jc w:val="right"/>
                  <w:rPr>
                    <w:color w:val="58595B"/>
                    <w:sz w:val="16"/>
                  </w:rPr>
                </w:pPr>
              </w:p>
            </w:tc>
          </w:tr>
          <w:tr w:rsidR="005C67FD" w14:paraId="4494BF37" w14:textId="77777777" w:rsidTr="005C67FD">
            <w:trPr>
              <w:trHeight w:val="222"/>
            </w:trPr>
            <w:tc>
              <w:tcPr>
                <w:cnfStyle w:val="001000000000" w:firstRow="0" w:lastRow="0" w:firstColumn="1" w:lastColumn="0" w:oddVBand="0" w:evenVBand="0" w:oddHBand="0" w:evenHBand="0" w:firstRowFirstColumn="0" w:firstRowLastColumn="0" w:lastRowFirstColumn="0" w:lastRowLastColumn="0"/>
                <w:tcW w:w="6979" w:type="dxa"/>
              </w:tcPr>
              <w:p w14:paraId="0DB28DDC" w14:textId="7433F3CF" w:rsidR="005C67FD" w:rsidRDefault="005C67FD" w:rsidP="003B42C9">
                <w:pPr>
                  <w:pStyle w:val="TableParagraph"/>
                  <w:spacing w:before="15"/>
                  <w:ind w:left="200"/>
                  <w:rPr>
                    <w:b w:val="0"/>
                    <w:color w:val="58595B"/>
                    <w:sz w:val="16"/>
                  </w:rPr>
                </w:pPr>
                <w:r>
                  <w:rPr>
                    <w:b w:val="0"/>
                    <w:color w:val="58595B"/>
                    <w:sz w:val="16"/>
                  </w:rPr>
                  <w:t>Noise pollution</w:t>
                </w:r>
              </w:p>
            </w:tc>
            <w:tc>
              <w:tcPr>
                <w:tcW w:w="772" w:type="dxa"/>
              </w:tcPr>
              <w:p w14:paraId="15F8EF31" w14:textId="68DAFC86" w:rsidR="005C67FD" w:rsidRDefault="005C67FD" w:rsidP="003B42C9">
                <w:pPr>
                  <w:pStyle w:val="TableParagraph"/>
                  <w:spacing w:before="15"/>
                  <w:ind w:right="198"/>
                  <w:jc w:val="right"/>
                  <w:cnfStyle w:val="000000000000" w:firstRow="0" w:lastRow="0" w:firstColumn="0" w:lastColumn="0" w:oddVBand="0" w:evenVBand="0" w:oddHBand="0" w:evenHBand="0" w:firstRowFirstColumn="0" w:firstRowLastColumn="0" w:lastRowFirstColumn="0" w:lastRowLastColumn="0"/>
                  <w:rPr>
                    <w:color w:val="58595B"/>
                    <w:sz w:val="16"/>
                  </w:rPr>
                </w:pPr>
                <w:r>
                  <w:rPr>
                    <w:color w:val="58595B"/>
                    <w:sz w:val="16"/>
                  </w:rPr>
                  <w:t>32</w:t>
                </w:r>
              </w:p>
            </w:tc>
            <w:tc>
              <w:tcPr>
                <w:cnfStyle w:val="000100000000" w:firstRow="0" w:lastRow="0" w:firstColumn="0" w:lastColumn="1" w:oddVBand="0" w:evenVBand="0" w:oddHBand="0" w:evenHBand="0" w:firstRowFirstColumn="0" w:firstRowLastColumn="0" w:lastRowFirstColumn="0" w:lastRowLastColumn="0"/>
                <w:tcW w:w="772" w:type="dxa"/>
              </w:tcPr>
              <w:p w14:paraId="09FCDC1B" w14:textId="77777777" w:rsidR="005C67FD" w:rsidRDefault="005C67FD" w:rsidP="003B42C9">
                <w:pPr>
                  <w:pStyle w:val="TableParagraph"/>
                  <w:spacing w:before="15"/>
                  <w:ind w:right="198"/>
                  <w:jc w:val="right"/>
                  <w:rPr>
                    <w:color w:val="58595B"/>
                    <w:sz w:val="16"/>
                  </w:rPr>
                </w:pPr>
              </w:p>
            </w:tc>
          </w:tr>
          <w:tr w:rsidR="005C67FD" w14:paraId="6A45C957" w14:textId="77777777" w:rsidTr="005C67FD">
            <w:trPr>
              <w:trHeight w:val="222"/>
            </w:trPr>
            <w:tc>
              <w:tcPr>
                <w:cnfStyle w:val="001000000000" w:firstRow="0" w:lastRow="0" w:firstColumn="1" w:lastColumn="0" w:oddVBand="0" w:evenVBand="0" w:oddHBand="0" w:evenHBand="0" w:firstRowFirstColumn="0" w:firstRowLastColumn="0" w:lastRowFirstColumn="0" w:lastRowLastColumn="0"/>
                <w:tcW w:w="6979" w:type="dxa"/>
              </w:tcPr>
              <w:p w14:paraId="666F5B01" w14:textId="63D8EDD3" w:rsidR="005C67FD" w:rsidRDefault="005C67FD" w:rsidP="003B42C9">
                <w:pPr>
                  <w:pStyle w:val="TableParagraph"/>
                  <w:spacing w:before="15"/>
                  <w:ind w:left="200"/>
                  <w:rPr>
                    <w:b w:val="0"/>
                    <w:color w:val="58595B"/>
                    <w:sz w:val="16"/>
                  </w:rPr>
                </w:pPr>
                <w:r>
                  <w:rPr>
                    <w:b w:val="0"/>
                    <w:color w:val="58595B"/>
                    <w:sz w:val="16"/>
                  </w:rPr>
                  <w:t>Investment in environment</w:t>
                </w:r>
              </w:p>
            </w:tc>
            <w:tc>
              <w:tcPr>
                <w:tcW w:w="772" w:type="dxa"/>
              </w:tcPr>
              <w:p w14:paraId="59032A2D" w14:textId="156AF736" w:rsidR="005C67FD" w:rsidRDefault="005C67FD" w:rsidP="003B42C9">
                <w:pPr>
                  <w:pStyle w:val="TableParagraph"/>
                  <w:spacing w:before="15"/>
                  <w:ind w:right="198"/>
                  <w:jc w:val="right"/>
                  <w:cnfStyle w:val="000000000000" w:firstRow="0" w:lastRow="0" w:firstColumn="0" w:lastColumn="0" w:oddVBand="0" w:evenVBand="0" w:oddHBand="0" w:evenHBand="0" w:firstRowFirstColumn="0" w:firstRowLastColumn="0" w:lastRowFirstColumn="0" w:lastRowLastColumn="0"/>
                  <w:rPr>
                    <w:color w:val="58595B"/>
                    <w:sz w:val="16"/>
                  </w:rPr>
                </w:pPr>
                <w:r>
                  <w:rPr>
                    <w:color w:val="58595B"/>
                    <w:sz w:val="16"/>
                  </w:rPr>
                  <w:t>32</w:t>
                </w:r>
              </w:p>
            </w:tc>
            <w:tc>
              <w:tcPr>
                <w:cnfStyle w:val="000100000000" w:firstRow="0" w:lastRow="0" w:firstColumn="0" w:lastColumn="1" w:oddVBand="0" w:evenVBand="0" w:oddHBand="0" w:evenHBand="0" w:firstRowFirstColumn="0" w:firstRowLastColumn="0" w:lastRowFirstColumn="0" w:lastRowLastColumn="0"/>
                <w:tcW w:w="772" w:type="dxa"/>
              </w:tcPr>
              <w:p w14:paraId="6975E101" w14:textId="77777777" w:rsidR="005C67FD" w:rsidRDefault="005C67FD" w:rsidP="003B42C9">
                <w:pPr>
                  <w:pStyle w:val="TableParagraph"/>
                  <w:spacing w:before="15"/>
                  <w:ind w:right="198"/>
                  <w:jc w:val="right"/>
                  <w:rPr>
                    <w:color w:val="58595B"/>
                    <w:sz w:val="16"/>
                  </w:rPr>
                </w:pPr>
              </w:p>
            </w:tc>
          </w:tr>
          <w:tr w:rsidR="00266C08" w14:paraId="4C3AC9D9" w14:textId="77777777" w:rsidTr="005C67FD">
            <w:trPr>
              <w:trHeight w:val="275"/>
            </w:trPr>
            <w:tc>
              <w:tcPr>
                <w:cnfStyle w:val="001000000000" w:firstRow="0" w:lastRow="0" w:firstColumn="1" w:lastColumn="0" w:oddVBand="0" w:evenVBand="0" w:oddHBand="0" w:evenHBand="0" w:firstRowFirstColumn="0" w:firstRowLastColumn="0" w:lastRowFirstColumn="0" w:lastRowLastColumn="0"/>
                <w:tcW w:w="6979" w:type="dxa"/>
              </w:tcPr>
              <w:p w14:paraId="3847073F" w14:textId="77777777" w:rsidR="00266C08" w:rsidRDefault="00266C08" w:rsidP="00FE181A">
                <w:pPr>
                  <w:pStyle w:val="TableParagraph"/>
                  <w:spacing w:before="3" w:line="253" w:lineRule="exact"/>
                  <w:ind w:left="200"/>
                  <w:rPr>
                    <w:rFonts w:ascii="Verdana"/>
                    <w:b w:val="0"/>
                    <w:sz w:val="21"/>
                  </w:rPr>
                </w:pPr>
                <w:r w:rsidRPr="00FE181A">
                  <w:rPr>
                    <w:rFonts w:ascii="Verdana"/>
                    <w:b w:val="0"/>
                    <w:color w:val="F69E00"/>
                    <w:w w:val="85"/>
                    <w:sz w:val="21"/>
                  </w:rPr>
                  <w:t xml:space="preserve">Section 4: Value for Money </w:t>
                </w:r>
              </w:p>
            </w:tc>
            <w:tc>
              <w:tcPr>
                <w:tcW w:w="772" w:type="dxa"/>
              </w:tcPr>
              <w:p w14:paraId="17EDD308" w14:textId="17CC04D4" w:rsidR="00266C08" w:rsidRDefault="005C67FD" w:rsidP="003B42C9">
                <w:pPr>
                  <w:pStyle w:val="TableParagraph"/>
                  <w:spacing w:before="3" w:line="253" w:lineRule="exact"/>
                  <w:ind w:right="198"/>
                  <w:jc w:val="right"/>
                  <w:cnfStyle w:val="000000000000" w:firstRow="0" w:lastRow="0" w:firstColumn="0" w:lastColumn="0" w:oddVBand="0" w:evenVBand="0" w:oddHBand="0" w:evenHBand="0" w:firstRowFirstColumn="0" w:firstRowLastColumn="0" w:lastRowFirstColumn="0" w:lastRowLastColumn="0"/>
                  <w:rPr>
                    <w:rFonts w:ascii="Verdana"/>
                    <w:b/>
                    <w:sz w:val="21"/>
                  </w:rPr>
                </w:pPr>
                <w:r>
                  <w:rPr>
                    <w:rFonts w:ascii="Verdana"/>
                    <w:b/>
                    <w:color w:val="F69E00"/>
                    <w:w w:val="75"/>
                    <w:sz w:val="21"/>
                  </w:rPr>
                  <w:t>33</w:t>
                </w:r>
              </w:p>
            </w:tc>
            <w:tc>
              <w:tcPr>
                <w:cnfStyle w:val="000100000000" w:firstRow="0" w:lastRow="0" w:firstColumn="0" w:lastColumn="1" w:oddVBand="0" w:evenVBand="0" w:oddHBand="0" w:evenHBand="0" w:firstRowFirstColumn="0" w:firstRowLastColumn="0" w:lastRowFirstColumn="0" w:lastRowLastColumn="0"/>
                <w:tcW w:w="772" w:type="dxa"/>
              </w:tcPr>
              <w:p w14:paraId="19C596E7" w14:textId="77777777" w:rsidR="00266C08" w:rsidRDefault="00266C08" w:rsidP="003B42C9">
                <w:pPr>
                  <w:pStyle w:val="TableParagraph"/>
                  <w:spacing w:before="3" w:line="253" w:lineRule="exact"/>
                  <w:ind w:right="198"/>
                  <w:jc w:val="right"/>
                  <w:rPr>
                    <w:rFonts w:ascii="Verdana"/>
                    <w:b w:val="0"/>
                    <w:color w:val="F69E00"/>
                    <w:w w:val="75"/>
                    <w:sz w:val="21"/>
                  </w:rPr>
                </w:pPr>
              </w:p>
            </w:tc>
          </w:tr>
          <w:tr w:rsidR="00266C08" w14:paraId="326B0200" w14:textId="77777777" w:rsidTr="005C67FD">
            <w:trPr>
              <w:trHeight w:val="216"/>
            </w:trPr>
            <w:tc>
              <w:tcPr>
                <w:cnfStyle w:val="001000000000" w:firstRow="0" w:lastRow="0" w:firstColumn="1" w:lastColumn="0" w:oddVBand="0" w:evenVBand="0" w:oddHBand="0" w:evenHBand="0" w:firstRowFirstColumn="0" w:firstRowLastColumn="0" w:lastRowFirstColumn="0" w:lastRowLastColumn="0"/>
                <w:tcW w:w="6979" w:type="dxa"/>
              </w:tcPr>
              <w:p w14:paraId="065E70F0" w14:textId="77777777" w:rsidR="00266C08" w:rsidRDefault="00340745" w:rsidP="004C2EDA">
                <w:pPr>
                  <w:pStyle w:val="TableParagraph"/>
                  <w:spacing w:before="10"/>
                  <w:ind w:left="200"/>
                  <w:rPr>
                    <w:sz w:val="16"/>
                  </w:rPr>
                </w:pPr>
                <w:r>
                  <w:rPr>
                    <w:b w:val="0"/>
                    <w:color w:val="58595B"/>
                    <w:sz w:val="16"/>
                  </w:rPr>
                  <w:t xml:space="preserve">Aligning investment with GPS priorities </w:t>
                </w:r>
              </w:p>
            </w:tc>
            <w:tc>
              <w:tcPr>
                <w:tcW w:w="772" w:type="dxa"/>
              </w:tcPr>
              <w:p w14:paraId="701F5843" w14:textId="2A4EF187" w:rsidR="00266C08" w:rsidRDefault="005C67FD" w:rsidP="003B42C9">
                <w:pPr>
                  <w:pStyle w:val="TableParagraph"/>
                  <w:spacing w:before="10"/>
                  <w:ind w:right="198"/>
                  <w:jc w:val="right"/>
                  <w:cnfStyle w:val="000000000000" w:firstRow="0" w:lastRow="0" w:firstColumn="0" w:lastColumn="0" w:oddVBand="0" w:evenVBand="0" w:oddHBand="0" w:evenHBand="0" w:firstRowFirstColumn="0" w:firstRowLastColumn="0" w:lastRowFirstColumn="0" w:lastRowLastColumn="0"/>
                  <w:rPr>
                    <w:sz w:val="16"/>
                  </w:rPr>
                </w:pPr>
                <w:r>
                  <w:rPr>
                    <w:color w:val="58595B"/>
                    <w:sz w:val="16"/>
                  </w:rPr>
                  <w:t>33</w:t>
                </w:r>
              </w:p>
            </w:tc>
            <w:tc>
              <w:tcPr>
                <w:cnfStyle w:val="000100000000" w:firstRow="0" w:lastRow="0" w:firstColumn="0" w:lastColumn="1" w:oddVBand="0" w:evenVBand="0" w:oddHBand="0" w:evenHBand="0" w:firstRowFirstColumn="0" w:firstRowLastColumn="0" w:lastRowFirstColumn="0" w:lastRowLastColumn="0"/>
                <w:tcW w:w="772" w:type="dxa"/>
              </w:tcPr>
              <w:p w14:paraId="7D8A0191" w14:textId="77777777" w:rsidR="00266C08" w:rsidRDefault="00266C08" w:rsidP="003B42C9">
                <w:pPr>
                  <w:pStyle w:val="TableParagraph"/>
                  <w:spacing w:before="10"/>
                  <w:ind w:right="198"/>
                  <w:jc w:val="right"/>
                  <w:rPr>
                    <w:color w:val="58595B"/>
                    <w:sz w:val="16"/>
                  </w:rPr>
                </w:pPr>
              </w:p>
            </w:tc>
          </w:tr>
          <w:tr w:rsidR="005C67FD" w14:paraId="4CB21015" w14:textId="77777777" w:rsidTr="005C67FD">
            <w:trPr>
              <w:trHeight w:val="216"/>
            </w:trPr>
            <w:tc>
              <w:tcPr>
                <w:cnfStyle w:val="001000000000" w:firstRow="0" w:lastRow="0" w:firstColumn="1" w:lastColumn="0" w:oddVBand="0" w:evenVBand="0" w:oddHBand="0" w:evenHBand="0" w:firstRowFirstColumn="0" w:firstRowLastColumn="0" w:lastRowFirstColumn="0" w:lastRowLastColumn="0"/>
                <w:tcW w:w="6979" w:type="dxa"/>
              </w:tcPr>
              <w:p w14:paraId="7265B386" w14:textId="2CEDE23B" w:rsidR="005C67FD" w:rsidRDefault="005C67FD" w:rsidP="004C2EDA">
                <w:pPr>
                  <w:pStyle w:val="TableParagraph"/>
                  <w:spacing w:before="10"/>
                  <w:ind w:left="200"/>
                  <w:rPr>
                    <w:b w:val="0"/>
                    <w:color w:val="58595B"/>
                    <w:sz w:val="16"/>
                  </w:rPr>
                </w:pPr>
                <w:r>
                  <w:rPr>
                    <w:b w:val="0"/>
                    <w:color w:val="58595B"/>
                    <w:sz w:val="16"/>
                  </w:rPr>
                  <w:t>Investment management</w:t>
                </w:r>
              </w:p>
            </w:tc>
            <w:tc>
              <w:tcPr>
                <w:tcW w:w="772" w:type="dxa"/>
              </w:tcPr>
              <w:p w14:paraId="42A517CC" w14:textId="44E9CE71" w:rsidR="005C67FD" w:rsidRDefault="005C67FD" w:rsidP="003B42C9">
                <w:pPr>
                  <w:pStyle w:val="TableParagraph"/>
                  <w:spacing w:before="10"/>
                  <w:ind w:right="198"/>
                  <w:jc w:val="right"/>
                  <w:cnfStyle w:val="000000000000" w:firstRow="0" w:lastRow="0" w:firstColumn="0" w:lastColumn="0" w:oddVBand="0" w:evenVBand="0" w:oddHBand="0" w:evenHBand="0" w:firstRowFirstColumn="0" w:firstRowLastColumn="0" w:lastRowFirstColumn="0" w:lastRowLastColumn="0"/>
                  <w:rPr>
                    <w:color w:val="58595B"/>
                    <w:sz w:val="16"/>
                  </w:rPr>
                </w:pPr>
                <w:r>
                  <w:rPr>
                    <w:color w:val="58595B"/>
                    <w:sz w:val="16"/>
                  </w:rPr>
                  <w:t>36</w:t>
                </w:r>
              </w:p>
            </w:tc>
            <w:tc>
              <w:tcPr>
                <w:cnfStyle w:val="000100000000" w:firstRow="0" w:lastRow="0" w:firstColumn="0" w:lastColumn="1" w:oddVBand="0" w:evenVBand="0" w:oddHBand="0" w:evenHBand="0" w:firstRowFirstColumn="0" w:firstRowLastColumn="0" w:lastRowFirstColumn="0" w:lastRowLastColumn="0"/>
                <w:tcW w:w="772" w:type="dxa"/>
              </w:tcPr>
              <w:p w14:paraId="528ED5EF" w14:textId="77777777" w:rsidR="005C67FD" w:rsidRDefault="005C67FD" w:rsidP="003B42C9">
                <w:pPr>
                  <w:pStyle w:val="TableParagraph"/>
                  <w:spacing w:before="10"/>
                  <w:ind w:right="198"/>
                  <w:jc w:val="right"/>
                  <w:rPr>
                    <w:color w:val="58595B"/>
                    <w:sz w:val="16"/>
                  </w:rPr>
                </w:pPr>
              </w:p>
            </w:tc>
          </w:tr>
          <w:tr w:rsidR="005C67FD" w14:paraId="34858A80" w14:textId="77777777" w:rsidTr="005C67FD">
            <w:trPr>
              <w:trHeight w:val="216"/>
            </w:trPr>
            <w:tc>
              <w:tcPr>
                <w:cnfStyle w:val="001000000000" w:firstRow="0" w:lastRow="0" w:firstColumn="1" w:lastColumn="0" w:oddVBand="0" w:evenVBand="0" w:oddHBand="0" w:evenHBand="0" w:firstRowFirstColumn="0" w:firstRowLastColumn="0" w:lastRowFirstColumn="0" w:lastRowLastColumn="0"/>
                <w:tcW w:w="6979" w:type="dxa"/>
              </w:tcPr>
              <w:p w14:paraId="3F450403" w14:textId="14A57E05" w:rsidR="005C67FD" w:rsidRDefault="005C67FD" w:rsidP="004C2EDA">
                <w:pPr>
                  <w:pStyle w:val="TableParagraph"/>
                  <w:spacing w:before="10"/>
                  <w:ind w:left="200"/>
                  <w:rPr>
                    <w:b w:val="0"/>
                    <w:color w:val="58595B"/>
                    <w:sz w:val="16"/>
                  </w:rPr>
                </w:pPr>
                <w:r>
                  <w:rPr>
                    <w:b w:val="0"/>
                    <w:color w:val="58595B"/>
                    <w:sz w:val="16"/>
                  </w:rPr>
                  <w:t>Monitoring and reporting</w:t>
                </w:r>
              </w:p>
            </w:tc>
            <w:tc>
              <w:tcPr>
                <w:tcW w:w="772" w:type="dxa"/>
              </w:tcPr>
              <w:p w14:paraId="55B7CE1E" w14:textId="0F3039F0" w:rsidR="005C67FD" w:rsidRDefault="005C67FD" w:rsidP="003B42C9">
                <w:pPr>
                  <w:pStyle w:val="TableParagraph"/>
                  <w:spacing w:before="10"/>
                  <w:ind w:right="198"/>
                  <w:jc w:val="right"/>
                  <w:cnfStyle w:val="000000000000" w:firstRow="0" w:lastRow="0" w:firstColumn="0" w:lastColumn="0" w:oddVBand="0" w:evenVBand="0" w:oddHBand="0" w:evenHBand="0" w:firstRowFirstColumn="0" w:firstRowLastColumn="0" w:lastRowFirstColumn="0" w:lastRowLastColumn="0"/>
                  <w:rPr>
                    <w:color w:val="58595B"/>
                    <w:sz w:val="16"/>
                  </w:rPr>
                </w:pPr>
                <w:r>
                  <w:rPr>
                    <w:color w:val="58595B"/>
                    <w:sz w:val="16"/>
                  </w:rPr>
                  <w:t>37</w:t>
                </w:r>
              </w:p>
            </w:tc>
            <w:tc>
              <w:tcPr>
                <w:cnfStyle w:val="000100000000" w:firstRow="0" w:lastRow="0" w:firstColumn="0" w:lastColumn="1" w:oddVBand="0" w:evenVBand="0" w:oddHBand="0" w:evenHBand="0" w:firstRowFirstColumn="0" w:firstRowLastColumn="0" w:lastRowFirstColumn="0" w:lastRowLastColumn="0"/>
                <w:tcW w:w="772" w:type="dxa"/>
              </w:tcPr>
              <w:p w14:paraId="076B2560" w14:textId="77777777" w:rsidR="005C67FD" w:rsidRDefault="005C67FD" w:rsidP="003B42C9">
                <w:pPr>
                  <w:pStyle w:val="TableParagraph"/>
                  <w:spacing w:before="10"/>
                  <w:ind w:right="198"/>
                  <w:jc w:val="right"/>
                  <w:rPr>
                    <w:color w:val="58595B"/>
                    <w:sz w:val="16"/>
                  </w:rPr>
                </w:pPr>
              </w:p>
            </w:tc>
          </w:tr>
          <w:tr w:rsidR="00266C08" w14:paraId="58D4FCD8" w14:textId="77777777" w:rsidTr="005C67FD">
            <w:trPr>
              <w:trHeight w:val="275"/>
            </w:trPr>
            <w:tc>
              <w:tcPr>
                <w:cnfStyle w:val="001000000000" w:firstRow="0" w:lastRow="0" w:firstColumn="1" w:lastColumn="0" w:oddVBand="0" w:evenVBand="0" w:oddHBand="0" w:evenHBand="0" w:firstRowFirstColumn="0" w:firstRowLastColumn="0" w:lastRowFirstColumn="0" w:lastRowLastColumn="0"/>
                <w:tcW w:w="6979" w:type="dxa"/>
              </w:tcPr>
              <w:p w14:paraId="4E388A3F" w14:textId="77777777" w:rsidR="00340745" w:rsidRPr="00BA5B7E" w:rsidRDefault="00266C08" w:rsidP="00BA5B7E">
                <w:pPr>
                  <w:pStyle w:val="TableParagraph"/>
                  <w:spacing w:before="3" w:line="253" w:lineRule="exact"/>
                  <w:ind w:left="200"/>
                  <w:rPr>
                    <w:rFonts w:ascii="Verdana"/>
                    <w:b w:val="0"/>
                    <w:color w:val="F26739"/>
                    <w:w w:val="85"/>
                    <w:sz w:val="21"/>
                  </w:rPr>
                </w:pPr>
                <w:r>
                  <w:rPr>
                    <w:rFonts w:ascii="Verdana"/>
                    <w:b w:val="0"/>
                    <w:color w:val="F26739"/>
                    <w:w w:val="85"/>
                    <w:sz w:val="21"/>
                  </w:rPr>
                  <w:t>Section 5: Appendices</w:t>
                </w:r>
              </w:p>
            </w:tc>
            <w:tc>
              <w:tcPr>
                <w:tcW w:w="772" w:type="dxa"/>
              </w:tcPr>
              <w:p w14:paraId="6A1C8154" w14:textId="321E4573" w:rsidR="00266C08" w:rsidRDefault="00D9543F" w:rsidP="003B42C9">
                <w:pPr>
                  <w:pStyle w:val="TableParagraph"/>
                  <w:spacing w:before="3" w:line="253" w:lineRule="exact"/>
                  <w:ind w:right="198"/>
                  <w:jc w:val="right"/>
                  <w:cnfStyle w:val="000000000000" w:firstRow="0" w:lastRow="0" w:firstColumn="0" w:lastColumn="0" w:oddVBand="0" w:evenVBand="0" w:oddHBand="0" w:evenHBand="0" w:firstRowFirstColumn="0" w:firstRowLastColumn="0" w:lastRowFirstColumn="0" w:lastRowLastColumn="0"/>
                  <w:rPr>
                    <w:rFonts w:ascii="Verdana"/>
                    <w:b/>
                    <w:sz w:val="21"/>
                  </w:rPr>
                </w:pPr>
                <w:r>
                  <w:rPr>
                    <w:rFonts w:ascii="Verdana"/>
                    <w:b/>
                    <w:color w:val="F26739"/>
                    <w:w w:val="75"/>
                    <w:sz w:val="21"/>
                  </w:rPr>
                  <w:t>38</w:t>
                </w:r>
              </w:p>
            </w:tc>
            <w:tc>
              <w:tcPr>
                <w:cnfStyle w:val="000100000000" w:firstRow="0" w:lastRow="0" w:firstColumn="0" w:lastColumn="1" w:oddVBand="0" w:evenVBand="0" w:oddHBand="0" w:evenHBand="0" w:firstRowFirstColumn="0" w:firstRowLastColumn="0" w:lastRowFirstColumn="0" w:lastRowLastColumn="0"/>
                <w:tcW w:w="772" w:type="dxa"/>
              </w:tcPr>
              <w:p w14:paraId="629A69AD" w14:textId="77777777" w:rsidR="00266C08" w:rsidRDefault="00266C08" w:rsidP="003B42C9">
                <w:pPr>
                  <w:pStyle w:val="TableParagraph"/>
                  <w:spacing w:before="3" w:line="253" w:lineRule="exact"/>
                  <w:ind w:right="198"/>
                  <w:jc w:val="right"/>
                  <w:rPr>
                    <w:rFonts w:ascii="Verdana"/>
                    <w:b w:val="0"/>
                    <w:color w:val="F26739"/>
                    <w:w w:val="75"/>
                    <w:sz w:val="21"/>
                  </w:rPr>
                </w:pPr>
              </w:p>
            </w:tc>
          </w:tr>
          <w:tr w:rsidR="00340745" w14:paraId="0CE2F0A1" w14:textId="77777777" w:rsidTr="005C67FD">
            <w:trPr>
              <w:trHeight w:val="275"/>
            </w:trPr>
            <w:tc>
              <w:tcPr>
                <w:cnfStyle w:val="001000000000" w:firstRow="0" w:lastRow="0" w:firstColumn="1" w:lastColumn="0" w:oddVBand="0" w:evenVBand="0" w:oddHBand="0" w:evenHBand="0" w:firstRowFirstColumn="0" w:firstRowLastColumn="0" w:lastRowFirstColumn="0" w:lastRowLastColumn="0"/>
                <w:tcW w:w="6979" w:type="dxa"/>
              </w:tcPr>
              <w:p w14:paraId="7DF4D2FE" w14:textId="77777777" w:rsidR="00340745" w:rsidRDefault="00BA5B7E" w:rsidP="00340745">
                <w:pPr>
                  <w:pStyle w:val="TableParagraph"/>
                  <w:spacing w:before="3" w:line="253" w:lineRule="exact"/>
                  <w:ind w:left="200"/>
                  <w:rPr>
                    <w:rFonts w:ascii="Verdana"/>
                    <w:b w:val="0"/>
                    <w:color w:val="F26739"/>
                    <w:w w:val="85"/>
                    <w:sz w:val="21"/>
                  </w:rPr>
                </w:pPr>
                <w:r>
                  <w:rPr>
                    <w:b w:val="0"/>
                    <w:color w:val="58595B"/>
                    <w:sz w:val="16"/>
                  </w:rPr>
                  <w:t xml:space="preserve">Changes in this years indicators </w:t>
                </w:r>
                <w:r w:rsidR="00340745">
                  <w:rPr>
                    <w:b w:val="0"/>
                    <w:color w:val="58595B"/>
                    <w:sz w:val="16"/>
                  </w:rPr>
                  <w:t xml:space="preserve"> </w:t>
                </w:r>
              </w:p>
            </w:tc>
            <w:tc>
              <w:tcPr>
                <w:tcW w:w="772" w:type="dxa"/>
              </w:tcPr>
              <w:p w14:paraId="344F4306" w14:textId="424F214E" w:rsidR="00340745" w:rsidRDefault="00D9543F" w:rsidP="00340745">
                <w:pPr>
                  <w:pStyle w:val="TableParagraph"/>
                  <w:spacing w:before="3" w:line="253" w:lineRule="exact"/>
                  <w:ind w:right="198"/>
                  <w:jc w:val="right"/>
                  <w:cnfStyle w:val="000000000000" w:firstRow="0" w:lastRow="0" w:firstColumn="0" w:lastColumn="0" w:oddVBand="0" w:evenVBand="0" w:oddHBand="0" w:evenHBand="0" w:firstRowFirstColumn="0" w:firstRowLastColumn="0" w:lastRowFirstColumn="0" w:lastRowLastColumn="0"/>
                  <w:rPr>
                    <w:rFonts w:ascii="Verdana"/>
                    <w:b/>
                    <w:color w:val="F26739"/>
                    <w:w w:val="75"/>
                    <w:sz w:val="21"/>
                  </w:rPr>
                </w:pPr>
                <w:r>
                  <w:rPr>
                    <w:color w:val="58595B"/>
                    <w:sz w:val="16"/>
                  </w:rPr>
                  <w:t>38</w:t>
                </w:r>
              </w:p>
            </w:tc>
            <w:tc>
              <w:tcPr>
                <w:cnfStyle w:val="000100000000" w:firstRow="0" w:lastRow="0" w:firstColumn="0" w:lastColumn="1" w:oddVBand="0" w:evenVBand="0" w:oddHBand="0" w:evenHBand="0" w:firstRowFirstColumn="0" w:firstRowLastColumn="0" w:lastRowFirstColumn="0" w:lastRowLastColumn="0"/>
                <w:tcW w:w="772" w:type="dxa"/>
              </w:tcPr>
              <w:p w14:paraId="5FCB149F" w14:textId="77777777" w:rsidR="00340745" w:rsidRDefault="00340745" w:rsidP="00340745">
                <w:pPr>
                  <w:pStyle w:val="TableParagraph"/>
                  <w:spacing w:before="3" w:line="253" w:lineRule="exact"/>
                  <w:ind w:right="198"/>
                  <w:jc w:val="right"/>
                  <w:rPr>
                    <w:rFonts w:ascii="Verdana"/>
                    <w:b w:val="0"/>
                    <w:color w:val="F26739"/>
                    <w:w w:val="75"/>
                    <w:sz w:val="21"/>
                  </w:rPr>
                </w:pPr>
              </w:p>
            </w:tc>
          </w:tr>
          <w:tr w:rsidR="00BA5B7E" w14:paraId="0EE593A1" w14:textId="77777777" w:rsidTr="005C67FD">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6979" w:type="dxa"/>
                <w:tcBorders>
                  <w:top w:val="none" w:sz="0" w:space="0" w:color="auto"/>
                </w:tcBorders>
              </w:tcPr>
              <w:p w14:paraId="7936144C" w14:textId="77777777" w:rsidR="00BA5B7E" w:rsidRDefault="00BA5B7E" w:rsidP="00340745">
                <w:pPr>
                  <w:pStyle w:val="TableParagraph"/>
                  <w:spacing w:before="3" w:line="253" w:lineRule="exact"/>
                  <w:ind w:left="200"/>
                  <w:rPr>
                    <w:b w:val="0"/>
                    <w:color w:val="58595B"/>
                    <w:sz w:val="16"/>
                  </w:rPr>
                </w:pPr>
                <w:r>
                  <w:rPr>
                    <w:b w:val="0"/>
                    <w:color w:val="58595B"/>
                    <w:sz w:val="16"/>
                  </w:rPr>
                  <w:t>GPS Indicators</w:t>
                </w:r>
              </w:p>
            </w:tc>
            <w:tc>
              <w:tcPr>
                <w:tcW w:w="772" w:type="dxa"/>
                <w:tcBorders>
                  <w:top w:val="none" w:sz="0" w:space="0" w:color="auto"/>
                </w:tcBorders>
              </w:tcPr>
              <w:p w14:paraId="2AB59036" w14:textId="3C9E677E" w:rsidR="00BA5B7E" w:rsidRDefault="00D9543F" w:rsidP="00340745">
                <w:pPr>
                  <w:pStyle w:val="TableParagraph"/>
                  <w:spacing w:before="3" w:line="253" w:lineRule="exact"/>
                  <w:ind w:right="198"/>
                  <w:jc w:val="right"/>
                  <w:cnfStyle w:val="010000000000" w:firstRow="0" w:lastRow="1" w:firstColumn="0" w:lastColumn="0" w:oddVBand="0" w:evenVBand="0" w:oddHBand="0" w:evenHBand="0" w:firstRowFirstColumn="0" w:firstRowLastColumn="0" w:lastRowFirstColumn="0" w:lastRowLastColumn="0"/>
                  <w:rPr>
                    <w:rFonts w:ascii="Verdana"/>
                    <w:b w:val="0"/>
                    <w:color w:val="F26739"/>
                    <w:w w:val="75"/>
                    <w:sz w:val="21"/>
                  </w:rPr>
                </w:pPr>
                <w:r>
                  <w:rPr>
                    <w:color w:val="58595B"/>
                    <w:sz w:val="16"/>
                  </w:rPr>
                  <w:t>39</w:t>
                </w:r>
              </w:p>
            </w:tc>
            <w:tc>
              <w:tcPr>
                <w:cnfStyle w:val="000100000000" w:firstRow="0" w:lastRow="0" w:firstColumn="0" w:lastColumn="1" w:oddVBand="0" w:evenVBand="0" w:oddHBand="0" w:evenHBand="0" w:firstRowFirstColumn="0" w:firstRowLastColumn="0" w:lastRowFirstColumn="0" w:lastRowLastColumn="0"/>
                <w:tcW w:w="772" w:type="dxa"/>
                <w:tcBorders>
                  <w:top w:val="none" w:sz="0" w:space="0" w:color="auto"/>
                </w:tcBorders>
              </w:tcPr>
              <w:p w14:paraId="126A30FA" w14:textId="77777777" w:rsidR="00BA5B7E" w:rsidRDefault="00BA5B7E" w:rsidP="00340745">
                <w:pPr>
                  <w:pStyle w:val="TableParagraph"/>
                  <w:spacing w:before="3" w:line="253" w:lineRule="exact"/>
                  <w:ind w:right="198"/>
                  <w:jc w:val="right"/>
                  <w:rPr>
                    <w:rFonts w:ascii="Verdana"/>
                    <w:b w:val="0"/>
                    <w:color w:val="F26739"/>
                    <w:w w:val="75"/>
                    <w:sz w:val="21"/>
                  </w:rPr>
                </w:pPr>
              </w:p>
            </w:tc>
          </w:tr>
        </w:tbl>
        <w:p w14:paraId="185D52CB" w14:textId="77777777" w:rsidR="00335C49" w:rsidRPr="00335C49" w:rsidRDefault="00A82D30" w:rsidP="00AB1154"/>
      </w:sdtContent>
    </w:sdt>
    <w:p w14:paraId="4F3DFE47" w14:textId="77777777" w:rsidR="00BB0851" w:rsidRDefault="00335C49" w:rsidP="00335C49">
      <w:r>
        <w:br w:type="page"/>
      </w:r>
    </w:p>
    <w:p w14:paraId="0B713B1D" w14:textId="1E5C271B" w:rsidR="00DB6A87" w:rsidRPr="00DB6A87" w:rsidRDefault="00DB6A87" w:rsidP="00DB6A87">
      <w:pPr>
        <w:spacing w:after="0" w:line="240" w:lineRule="auto"/>
        <w:rPr>
          <w:rFonts w:asciiTheme="minorHAnsi" w:eastAsia="Times New Roman" w:hAnsiTheme="minorHAnsi" w:cstheme="minorHAnsi"/>
          <w:color w:val="0E101A"/>
          <w:sz w:val="24"/>
          <w:szCs w:val="24"/>
          <w:lang w:eastAsia="en-NZ"/>
        </w:rPr>
      </w:pPr>
      <w:bookmarkStart w:id="0" w:name="_Hlk70488284"/>
      <w:r w:rsidRPr="00DB6A87">
        <w:rPr>
          <w:rFonts w:asciiTheme="minorHAnsi" w:eastAsia="Times New Roman" w:hAnsiTheme="minorHAnsi" w:cstheme="minorHAnsi"/>
          <w:b/>
          <w:bCs/>
          <w:color w:val="0E101A"/>
          <w:sz w:val="24"/>
          <w:szCs w:val="24"/>
          <w:lang w:eastAsia="en-NZ"/>
        </w:rPr>
        <w:lastRenderedPageBreak/>
        <w:t>Content: </w:t>
      </w:r>
      <w:r w:rsidRPr="00DB6A87">
        <w:rPr>
          <w:rFonts w:asciiTheme="minorHAnsi" w:eastAsia="Times New Roman" w:hAnsiTheme="minorHAnsi" w:cstheme="minorHAnsi"/>
          <w:color w:val="0E101A"/>
          <w:sz w:val="24"/>
          <w:szCs w:val="24"/>
          <w:lang w:eastAsia="en-NZ"/>
        </w:rPr>
        <w:t xml:space="preserve">This is the second annual report on the Government Policy Statement </w:t>
      </w:r>
      <w:r w:rsidR="00AC430D">
        <w:rPr>
          <w:rFonts w:asciiTheme="minorHAnsi" w:eastAsia="Times New Roman" w:hAnsiTheme="minorHAnsi" w:cstheme="minorHAnsi"/>
          <w:color w:val="0E101A"/>
          <w:sz w:val="24"/>
          <w:szCs w:val="24"/>
          <w:lang w:eastAsia="en-NZ"/>
        </w:rPr>
        <w:t xml:space="preserve">on land transport </w:t>
      </w:r>
      <w:r w:rsidRPr="00DB6A87">
        <w:rPr>
          <w:rFonts w:asciiTheme="minorHAnsi" w:eastAsia="Times New Roman" w:hAnsiTheme="minorHAnsi" w:cstheme="minorHAnsi"/>
          <w:color w:val="0E101A"/>
          <w:sz w:val="24"/>
          <w:szCs w:val="24"/>
          <w:lang w:eastAsia="en-NZ"/>
        </w:rPr>
        <w:t>(GPS)</w:t>
      </w:r>
      <w:r w:rsidR="00AC430D">
        <w:rPr>
          <w:rFonts w:asciiTheme="minorHAnsi" w:eastAsia="Times New Roman" w:hAnsiTheme="minorHAnsi" w:cstheme="minorHAnsi"/>
          <w:color w:val="0E101A"/>
          <w:sz w:val="24"/>
          <w:szCs w:val="24"/>
          <w:lang w:eastAsia="en-NZ"/>
        </w:rPr>
        <w:t xml:space="preserve"> 2018</w:t>
      </w:r>
      <w:r w:rsidRPr="00DB6A87">
        <w:rPr>
          <w:rFonts w:asciiTheme="minorHAnsi" w:eastAsia="Times New Roman" w:hAnsiTheme="minorHAnsi" w:cstheme="minorHAnsi"/>
          <w:color w:val="0E101A"/>
          <w:sz w:val="24"/>
          <w:szCs w:val="24"/>
          <w:lang w:eastAsia="en-NZ"/>
        </w:rPr>
        <w:t>. It reports on collective progress</w:t>
      </w:r>
      <w:r w:rsidR="00C56546">
        <w:rPr>
          <w:rFonts w:asciiTheme="minorHAnsi" w:eastAsia="Times New Roman" w:hAnsiTheme="minorHAnsi" w:cstheme="minorHAnsi"/>
          <w:color w:val="0E101A"/>
          <w:sz w:val="24"/>
          <w:szCs w:val="24"/>
          <w:lang w:eastAsia="en-NZ"/>
        </w:rPr>
        <w:t xml:space="preserve"> of Waka Kotahi, Ministry of Transport, Maritime NZ, KiwiRail, </w:t>
      </w:r>
      <w:r w:rsidR="000771E5">
        <w:rPr>
          <w:rFonts w:asciiTheme="minorHAnsi" w:eastAsia="Times New Roman" w:hAnsiTheme="minorHAnsi" w:cstheme="minorHAnsi"/>
          <w:color w:val="0E101A"/>
          <w:sz w:val="24"/>
          <w:szCs w:val="24"/>
          <w:lang w:eastAsia="en-NZ"/>
        </w:rPr>
        <w:t xml:space="preserve">CAA and Police, </w:t>
      </w:r>
      <w:r w:rsidRPr="00DB6A87">
        <w:rPr>
          <w:rFonts w:asciiTheme="minorHAnsi" w:eastAsia="Times New Roman" w:hAnsiTheme="minorHAnsi" w:cstheme="minorHAnsi"/>
          <w:color w:val="0E101A"/>
          <w:sz w:val="24"/>
          <w:szCs w:val="24"/>
          <w:lang w:eastAsia="en-NZ"/>
        </w:rPr>
        <w:t xml:space="preserve">against the overall delivery of GPS objectives for the second year (2019/20), using a series of </w:t>
      </w:r>
      <w:r w:rsidR="00AC430D">
        <w:rPr>
          <w:rFonts w:asciiTheme="minorHAnsi" w:eastAsia="Times New Roman" w:hAnsiTheme="minorHAnsi" w:cstheme="minorHAnsi"/>
          <w:color w:val="0E101A"/>
          <w:sz w:val="24"/>
          <w:szCs w:val="24"/>
          <w:lang w:eastAsia="en-NZ"/>
        </w:rPr>
        <w:t>measure</w:t>
      </w:r>
      <w:r w:rsidRPr="00DB6A87">
        <w:rPr>
          <w:rFonts w:asciiTheme="minorHAnsi" w:eastAsia="Times New Roman" w:hAnsiTheme="minorHAnsi" w:cstheme="minorHAnsi"/>
          <w:color w:val="0E101A"/>
          <w:sz w:val="24"/>
          <w:szCs w:val="24"/>
          <w:lang w:eastAsia="en-NZ"/>
        </w:rPr>
        <w:t xml:space="preserve">s presented (here: </w:t>
      </w:r>
      <w:hyperlink r:id="rId11" w:history="1">
        <w:r w:rsidR="00A82D30">
          <w:rPr>
            <w:rStyle w:val="Hyperlink"/>
          </w:rPr>
          <w:t>Government Policy Statement on land transport 2018 | Ministry of Transport</w:t>
        </w:r>
      </w:hyperlink>
      <w:r w:rsidRPr="00DB6A87">
        <w:rPr>
          <w:rFonts w:asciiTheme="minorHAnsi" w:eastAsia="Times New Roman" w:hAnsiTheme="minorHAnsi" w:cstheme="minorHAnsi"/>
          <w:color w:val="0E101A"/>
          <w:sz w:val="24"/>
          <w:szCs w:val="24"/>
          <w:lang w:eastAsia="en-NZ"/>
        </w:rPr>
        <w:t>) and</w:t>
      </w:r>
      <w:r w:rsidR="009B085E">
        <w:rPr>
          <w:rFonts w:asciiTheme="minorHAnsi" w:eastAsia="Times New Roman" w:hAnsiTheme="minorHAnsi" w:cstheme="minorHAnsi"/>
          <w:color w:val="0E101A"/>
          <w:sz w:val="24"/>
          <w:szCs w:val="24"/>
          <w:lang w:eastAsia="en-NZ"/>
        </w:rPr>
        <w:t xml:space="preserve"> in</w:t>
      </w:r>
      <w:r w:rsidRPr="00DB6A87">
        <w:rPr>
          <w:rFonts w:asciiTheme="minorHAnsi" w:eastAsia="Times New Roman" w:hAnsiTheme="minorHAnsi" w:cstheme="minorHAnsi"/>
          <w:color w:val="0E101A"/>
          <w:sz w:val="24"/>
          <w:szCs w:val="24"/>
          <w:lang w:eastAsia="en-NZ"/>
        </w:rPr>
        <w:t xml:space="preserve"> Appendix </w:t>
      </w:r>
      <w:r w:rsidRPr="00DB6A87">
        <w:rPr>
          <w:rFonts w:asciiTheme="minorHAnsi" w:eastAsia="Times New Roman" w:hAnsiTheme="minorHAnsi" w:cstheme="minorHAnsi"/>
          <w:b/>
          <w:bCs/>
          <w:i/>
          <w:iCs/>
          <w:color w:val="0E101A"/>
          <w:sz w:val="24"/>
          <w:szCs w:val="24"/>
          <w:lang w:eastAsia="en-NZ"/>
        </w:rPr>
        <w:t>B.</w:t>
      </w:r>
    </w:p>
    <w:p w14:paraId="18797B44" w14:textId="77777777" w:rsidR="00DB6A87" w:rsidRDefault="00DB6A87" w:rsidP="00DB6A87">
      <w:pPr>
        <w:spacing w:after="0" w:line="240" w:lineRule="auto"/>
        <w:rPr>
          <w:rFonts w:asciiTheme="minorHAnsi" w:eastAsia="Times New Roman" w:hAnsiTheme="minorHAnsi" w:cstheme="minorHAnsi"/>
          <w:b/>
          <w:bCs/>
          <w:color w:val="0E101A"/>
          <w:sz w:val="24"/>
          <w:szCs w:val="24"/>
          <w:lang w:eastAsia="en-NZ"/>
        </w:rPr>
      </w:pPr>
    </w:p>
    <w:p w14:paraId="11F5788B" w14:textId="685E5B05" w:rsidR="00DB6A87" w:rsidRPr="00DB6A87" w:rsidRDefault="00DB6A87" w:rsidP="00DB6A87">
      <w:pPr>
        <w:spacing w:after="0" w:line="240" w:lineRule="auto"/>
        <w:rPr>
          <w:rFonts w:asciiTheme="minorHAnsi" w:eastAsia="Times New Roman" w:hAnsiTheme="minorHAnsi" w:cstheme="minorHAnsi"/>
          <w:color w:val="0E101A"/>
          <w:sz w:val="24"/>
          <w:szCs w:val="24"/>
          <w:lang w:eastAsia="en-NZ"/>
        </w:rPr>
      </w:pPr>
      <w:r w:rsidRPr="00DB6A87">
        <w:rPr>
          <w:rFonts w:asciiTheme="minorHAnsi" w:eastAsia="Times New Roman" w:hAnsiTheme="minorHAnsi" w:cstheme="minorHAnsi"/>
          <w:b/>
          <w:bCs/>
          <w:color w:val="0E101A"/>
          <w:sz w:val="24"/>
          <w:szCs w:val="24"/>
          <w:lang w:eastAsia="en-NZ"/>
        </w:rPr>
        <w:t>Purpose: </w:t>
      </w:r>
      <w:r w:rsidRPr="00DB6A87">
        <w:rPr>
          <w:rFonts w:asciiTheme="minorHAnsi" w:eastAsia="Times New Roman" w:hAnsiTheme="minorHAnsi" w:cstheme="minorHAnsi"/>
          <w:color w:val="0E101A"/>
          <w:sz w:val="24"/>
          <w:szCs w:val="24"/>
          <w:lang w:eastAsia="en-NZ"/>
        </w:rPr>
        <w:t>The Ministry is responsible for the production, monitoring and evaluation of the GPS. This includes assessing 1) the results achieved through GPS investment 2) the expenditure under each activity class. Through regular and comprehensive reporting of the GPS, we can build an evidence-base that can allow us to understand how well the GPS affects various outcomes (both intended and unintended).</w:t>
      </w:r>
    </w:p>
    <w:p w14:paraId="111E1808" w14:textId="77777777" w:rsidR="00DB6A87" w:rsidRPr="00DB6A87" w:rsidRDefault="00DB6A87" w:rsidP="00DB6A87">
      <w:pPr>
        <w:spacing w:after="0" w:line="240" w:lineRule="auto"/>
        <w:rPr>
          <w:rFonts w:asciiTheme="minorHAnsi" w:eastAsia="Times New Roman" w:hAnsiTheme="minorHAnsi" w:cstheme="minorHAnsi"/>
          <w:color w:val="0E101A"/>
          <w:sz w:val="24"/>
          <w:szCs w:val="24"/>
          <w:lang w:eastAsia="en-NZ"/>
        </w:rPr>
      </w:pPr>
      <w:r w:rsidRPr="00DB6A87">
        <w:rPr>
          <w:rFonts w:asciiTheme="minorHAnsi" w:eastAsia="Times New Roman" w:hAnsiTheme="minorHAnsi" w:cstheme="minorHAnsi"/>
          <w:color w:val="0E101A"/>
          <w:sz w:val="24"/>
          <w:szCs w:val="24"/>
          <w:lang w:eastAsia="en-NZ"/>
        </w:rPr>
        <w:t>With this information, we can make more informed decisions on how we invest our money and develop future iterations of the GPS.</w:t>
      </w:r>
    </w:p>
    <w:p w14:paraId="17E0C51F" w14:textId="77777777" w:rsidR="00DB6A87" w:rsidRDefault="00DB6A87" w:rsidP="00DB6A87">
      <w:pPr>
        <w:spacing w:after="0" w:line="240" w:lineRule="auto"/>
        <w:rPr>
          <w:rFonts w:asciiTheme="minorHAnsi" w:eastAsia="Times New Roman" w:hAnsiTheme="minorHAnsi" w:cstheme="minorHAnsi"/>
          <w:b/>
          <w:bCs/>
          <w:color w:val="0E101A"/>
          <w:sz w:val="24"/>
          <w:szCs w:val="24"/>
          <w:lang w:eastAsia="en-NZ"/>
        </w:rPr>
      </w:pPr>
    </w:p>
    <w:p w14:paraId="4A8CB2D6" w14:textId="37740D4B" w:rsidR="00DB6A87" w:rsidRDefault="00DB6A87" w:rsidP="00DB6A87">
      <w:pPr>
        <w:spacing w:after="0" w:line="240" w:lineRule="auto"/>
        <w:rPr>
          <w:rFonts w:asciiTheme="minorHAnsi" w:eastAsia="Times New Roman" w:hAnsiTheme="minorHAnsi" w:cstheme="minorHAnsi"/>
          <w:color w:val="0E101A"/>
          <w:sz w:val="24"/>
          <w:szCs w:val="24"/>
          <w:lang w:eastAsia="en-NZ"/>
        </w:rPr>
      </w:pPr>
      <w:r w:rsidRPr="00DB6A87">
        <w:rPr>
          <w:rFonts w:asciiTheme="minorHAnsi" w:eastAsia="Times New Roman" w:hAnsiTheme="minorHAnsi" w:cstheme="minorHAnsi"/>
          <w:b/>
          <w:bCs/>
          <w:color w:val="0E101A"/>
          <w:sz w:val="24"/>
          <w:szCs w:val="24"/>
          <w:lang w:eastAsia="en-NZ"/>
        </w:rPr>
        <w:t xml:space="preserve">GPS M&amp;E </w:t>
      </w:r>
      <w:r w:rsidR="006314F0">
        <w:rPr>
          <w:rFonts w:asciiTheme="minorHAnsi" w:eastAsia="Times New Roman" w:hAnsiTheme="minorHAnsi" w:cstheme="minorHAnsi"/>
          <w:b/>
          <w:bCs/>
          <w:color w:val="0E101A"/>
          <w:sz w:val="24"/>
          <w:szCs w:val="24"/>
          <w:lang w:eastAsia="en-NZ"/>
        </w:rPr>
        <w:t>Programme</w:t>
      </w:r>
      <w:r w:rsidRPr="00DB6A87">
        <w:rPr>
          <w:rFonts w:asciiTheme="minorHAnsi" w:eastAsia="Times New Roman" w:hAnsiTheme="minorHAnsi" w:cstheme="minorHAnsi"/>
          <w:b/>
          <w:bCs/>
          <w:color w:val="0E101A"/>
          <w:sz w:val="24"/>
          <w:szCs w:val="24"/>
          <w:lang w:eastAsia="en-NZ"/>
        </w:rPr>
        <w:t>: </w:t>
      </w:r>
      <w:r w:rsidRPr="00DB6A87">
        <w:rPr>
          <w:rFonts w:asciiTheme="minorHAnsi" w:eastAsia="Times New Roman" w:hAnsiTheme="minorHAnsi" w:cstheme="minorHAnsi"/>
          <w:color w:val="0E101A"/>
          <w:sz w:val="24"/>
          <w:szCs w:val="24"/>
          <w:lang w:eastAsia="en-NZ"/>
        </w:rPr>
        <w:t xml:space="preserve">This GPS annual reporting falls under our Monitoring and Evaluation programme. </w:t>
      </w:r>
      <w:r w:rsidR="00766789">
        <w:rPr>
          <w:rFonts w:asciiTheme="minorHAnsi" w:eastAsia="Times New Roman" w:hAnsiTheme="minorHAnsi" w:cstheme="minorHAnsi"/>
          <w:color w:val="0E101A"/>
          <w:sz w:val="24"/>
          <w:szCs w:val="24"/>
          <w:lang w:eastAsia="en-NZ"/>
        </w:rPr>
        <w:t>The Monitoring and Evaluation</w:t>
      </w:r>
      <w:r w:rsidRPr="00DB6A87">
        <w:rPr>
          <w:rFonts w:asciiTheme="minorHAnsi" w:eastAsia="Times New Roman" w:hAnsiTheme="minorHAnsi" w:cstheme="minorHAnsi"/>
          <w:color w:val="0E101A"/>
          <w:sz w:val="24"/>
          <w:szCs w:val="24"/>
          <w:lang w:eastAsia="en-NZ"/>
        </w:rPr>
        <w:t xml:space="preserve"> programme aims to develop a culture that embeds evaluation into its policy life cycle and improves the quality and efficiency of evaluation activities by working closely with internal and external stakeholders.</w:t>
      </w:r>
    </w:p>
    <w:p w14:paraId="5AA3D833" w14:textId="77777777" w:rsidR="009B085E" w:rsidRPr="00DB6A87" w:rsidRDefault="009B085E" w:rsidP="00DB6A87">
      <w:pPr>
        <w:spacing w:after="0" w:line="240" w:lineRule="auto"/>
        <w:rPr>
          <w:rFonts w:asciiTheme="minorHAnsi" w:eastAsia="Times New Roman" w:hAnsiTheme="minorHAnsi" w:cstheme="minorHAnsi"/>
          <w:color w:val="0E101A"/>
          <w:sz w:val="24"/>
          <w:szCs w:val="24"/>
          <w:lang w:eastAsia="en-NZ"/>
        </w:rPr>
      </w:pPr>
    </w:p>
    <w:p w14:paraId="03D12560" w14:textId="7A2EC36B" w:rsidR="006314F0" w:rsidRDefault="00DB6A87" w:rsidP="00DB6A87">
      <w:pPr>
        <w:spacing w:after="0" w:line="240" w:lineRule="auto"/>
        <w:rPr>
          <w:rFonts w:asciiTheme="minorHAnsi" w:eastAsia="Times New Roman" w:hAnsiTheme="minorHAnsi" w:cstheme="minorHAnsi"/>
          <w:color w:val="0E101A"/>
          <w:sz w:val="24"/>
          <w:szCs w:val="24"/>
          <w:lang w:eastAsia="en-NZ"/>
        </w:rPr>
      </w:pPr>
      <w:r w:rsidRPr="00DB6A87">
        <w:rPr>
          <w:rFonts w:asciiTheme="minorHAnsi" w:eastAsia="Times New Roman" w:hAnsiTheme="minorHAnsi" w:cstheme="minorHAnsi"/>
          <w:color w:val="0E101A"/>
          <w:sz w:val="24"/>
          <w:szCs w:val="24"/>
          <w:lang w:eastAsia="en-NZ"/>
        </w:rPr>
        <w:t xml:space="preserve">Although the first couple of years </w:t>
      </w:r>
      <w:r w:rsidR="0089269F">
        <w:rPr>
          <w:rFonts w:asciiTheme="minorHAnsi" w:eastAsia="Times New Roman" w:hAnsiTheme="minorHAnsi" w:cstheme="minorHAnsi"/>
          <w:color w:val="0E101A"/>
          <w:sz w:val="24"/>
          <w:szCs w:val="24"/>
          <w:lang w:eastAsia="en-NZ"/>
        </w:rPr>
        <w:t xml:space="preserve">predominately </w:t>
      </w:r>
      <w:r w:rsidRPr="00DB6A87">
        <w:rPr>
          <w:rFonts w:asciiTheme="minorHAnsi" w:eastAsia="Times New Roman" w:hAnsiTheme="minorHAnsi" w:cstheme="minorHAnsi"/>
          <w:color w:val="0E101A"/>
          <w:sz w:val="24"/>
          <w:szCs w:val="24"/>
          <w:lang w:eastAsia="en-NZ"/>
        </w:rPr>
        <w:t xml:space="preserve">focuses on monitoring, this is an important practice for building the necessary foundation of baseline data. For this reason, to date, minimal analysis and interpretation are provided for why we see the trends we do. More comprehensive analyses of the effects and impacts of GPS investments will be developed and built on in future years through </w:t>
      </w:r>
      <w:r w:rsidR="00766789">
        <w:rPr>
          <w:rFonts w:asciiTheme="minorHAnsi" w:eastAsia="Times New Roman" w:hAnsiTheme="minorHAnsi" w:cstheme="minorHAnsi"/>
          <w:color w:val="0E101A"/>
          <w:sz w:val="24"/>
          <w:szCs w:val="24"/>
          <w:lang w:eastAsia="en-NZ"/>
        </w:rPr>
        <w:t xml:space="preserve">the </w:t>
      </w:r>
      <w:r w:rsidRPr="00DB6A87">
        <w:rPr>
          <w:rFonts w:asciiTheme="minorHAnsi" w:eastAsia="Times New Roman" w:hAnsiTheme="minorHAnsi" w:cstheme="minorHAnsi"/>
          <w:color w:val="0E101A"/>
          <w:sz w:val="24"/>
          <w:szCs w:val="24"/>
          <w:lang w:eastAsia="en-NZ"/>
        </w:rPr>
        <w:t>structured monitoring and evaluation programme. This will include doing a 3-year impact evaluation of GPS 2018.  </w:t>
      </w:r>
    </w:p>
    <w:p w14:paraId="20D1164E" w14:textId="10E8C168" w:rsidR="006314F0" w:rsidRDefault="006314F0" w:rsidP="00DB6A87">
      <w:pPr>
        <w:spacing w:after="0" w:line="240" w:lineRule="auto"/>
        <w:rPr>
          <w:rFonts w:asciiTheme="minorHAnsi" w:eastAsia="Times New Roman" w:hAnsiTheme="minorHAnsi" w:cstheme="minorHAnsi"/>
          <w:color w:val="0E101A"/>
          <w:sz w:val="24"/>
          <w:szCs w:val="24"/>
          <w:lang w:eastAsia="en-NZ"/>
        </w:rPr>
      </w:pPr>
    </w:p>
    <w:p w14:paraId="4C507159" w14:textId="16A6F527" w:rsidR="006314F0" w:rsidRPr="00DB6A87" w:rsidRDefault="006314F0" w:rsidP="00DB6A87">
      <w:pPr>
        <w:spacing w:after="0" w:line="240" w:lineRule="auto"/>
        <w:rPr>
          <w:rFonts w:asciiTheme="minorHAnsi" w:eastAsia="Times New Roman" w:hAnsiTheme="minorHAnsi" w:cstheme="minorHAnsi"/>
          <w:color w:val="0E101A"/>
          <w:sz w:val="24"/>
          <w:szCs w:val="24"/>
          <w:lang w:eastAsia="en-NZ"/>
        </w:rPr>
      </w:pPr>
      <w:r>
        <w:rPr>
          <w:rFonts w:asciiTheme="minorHAnsi" w:eastAsia="Times New Roman" w:hAnsiTheme="minorHAnsi" w:cstheme="minorHAnsi"/>
          <w:color w:val="0E101A"/>
          <w:sz w:val="24"/>
          <w:szCs w:val="24"/>
          <w:lang w:eastAsia="en-NZ"/>
        </w:rPr>
        <w:t xml:space="preserve">Our Monitoring and Evaluation programme also covers reviews and evaluations of specific areas of GPS investment. </w:t>
      </w:r>
    </w:p>
    <w:p w14:paraId="4C1AFB0D" w14:textId="77777777" w:rsidR="00DB6A87" w:rsidRDefault="00DB6A87" w:rsidP="00DB6A87">
      <w:pPr>
        <w:spacing w:after="0" w:line="240" w:lineRule="auto"/>
        <w:rPr>
          <w:rFonts w:asciiTheme="minorHAnsi" w:eastAsia="Times New Roman" w:hAnsiTheme="minorHAnsi" w:cstheme="minorHAnsi"/>
          <w:b/>
          <w:bCs/>
          <w:color w:val="0E101A"/>
          <w:sz w:val="24"/>
          <w:szCs w:val="24"/>
          <w:lang w:eastAsia="en-NZ"/>
        </w:rPr>
      </w:pPr>
    </w:p>
    <w:p w14:paraId="4DD06ADE" w14:textId="45293B3F" w:rsidR="00DB6A87" w:rsidRDefault="00DB6A87" w:rsidP="00DB6A87">
      <w:pPr>
        <w:spacing w:after="0" w:line="240" w:lineRule="auto"/>
        <w:rPr>
          <w:rFonts w:asciiTheme="minorHAnsi" w:eastAsia="Times New Roman" w:hAnsiTheme="minorHAnsi" w:cstheme="minorHAnsi"/>
          <w:color w:val="0E101A"/>
          <w:sz w:val="24"/>
          <w:szCs w:val="24"/>
          <w:lang w:eastAsia="en-NZ"/>
        </w:rPr>
      </w:pPr>
      <w:r w:rsidRPr="00DB6A87">
        <w:rPr>
          <w:rFonts w:asciiTheme="minorHAnsi" w:eastAsia="Times New Roman" w:hAnsiTheme="minorHAnsi" w:cstheme="minorHAnsi"/>
          <w:b/>
          <w:bCs/>
          <w:color w:val="0E101A"/>
          <w:sz w:val="24"/>
          <w:szCs w:val="24"/>
          <w:lang w:eastAsia="en-NZ"/>
        </w:rPr>
        <w:t>Structure: </w:t>
      </w:r>
      <w:r w:rsidRPr="00DB6A87">
        <w:rPr>
          <w:rFonts w:asciiTheme="minorHAnsi" w:eastAsia="Times New Roman" w:hAnsiTheme="minorHAnsi" w:cstheme="minorHAnsi"/>
          <w:color w:val="0E101A"/>
          <w:sz w:val="24"/>
          <w:szCs w:val="24"/>
          <w:lang w:eastAsia="en-NZ"/>
        </w:rPr>
        <w:t xml:space="preserve">Due to data availability, not all of the measures proposed for the GPS 2019/20 reporting are available to report this year. Where data is provided for the most recent year, historical data of previous years </w:t>
      </w:r>
      <w:r w:rsidR="00766789">
        <w:rPr>
          <w:rFonts w:asciiTheme="minorHAnsi" w:eastAsia="Times New Roman" w:hAnsiTheme="minorHAnsi" w:cstheme="minorHAnsi"/>
          <w:color w:val="0E101A"/>
          <w:sz w:val="24"/>
          <w:szCs w:val="24"/>
          <w:lang w:eastAsia="en-NZ"/>
        </w:rPr>
        <w:t xml:space="preserve">is </w:t>
      </w:r>
      <w:r w:rsidRPr="00DB6A87">
        <w:rPr>
          <w:rFonts w:asciiTheme="minorHAnsi" w:eastAsia="Times New Roman" w:hAnsiTheme="minorHAnsi" w:cstheme="minorHAnsi"/>
          <w:color w:val="0E101A"/>
          <w:sz w:val="24"/>
          <w:szCs w:val="24"/>
          <w:lang w:eastAsia="en-NZ"/>
        </w:rPr>
        <w:t xml:space="preserve">also </w:t>
      </w:r>
      <w:r w:rsidR="00766789">
        <w:rPr>
          <w:rFonts w:asciiTheme="minorHAnsi" w:eastAsia="Times New Roman" w:hAnsiTheme="minorHAnsi" w:cstheme="minorHAnsi"/>
          <w:color w:val="0E101A"/>
          <w:sz w:val="24"/>
          <w:szCs w:val="24"/>
          <w:lang w:eastAsia="en-NZ"/>
        </w:rPr>
        <w:t xml:space="preserve">presented </w:t>
      </w:r>
      <w:r w:rsidRPr="00DB6A87">
        <w:rPr>
          <w:rFonts w:asciiTheme="minorHAnsi" w:eastAsia="Times New Roman" w:hAnsiTheme="minorHAnsi" w:cstheme="minorHAnsi"/>
          <w:color w:val="0E101A"/>
          <w:sz w:val="24"/>
          <w:szCs w:val="24"/>
          <w:lang w:eastAsia="en-NZ"/>
        </w:rPr>
        <w:t xml:space="preserve">to provide a baseline. As data sets become available, we will incorporate </w:t>
      </w:r>
      <w:r w:rsidR="00766789">
        <w:rPr>
          <w:rFonts w:asciiTheme="minorHAnsi" w:eastAsia="Times New Roman" w:hAnsiTheme="minorHAnsi" w:cstheme="minorHAnsi"/>
          <w:color w:val="0E101A"/>
          <w:sz w:val="24"/>
          <w:szCs w:val="24"/>
          <w:lang w:eastAsia="en-NZ"/>
        </w:rPr>
        <w:t xml:space="preserve">additional measures </w:t>
      </w:r>
      <w:r w:rsidRPr="00DB6A87">
        <w:rPr>
          <w:rFonts w:asciiTheme="minorHAnsi" w:eastAsia="Times New Roman" w:hAnsiTheme="minorHAnsi" w:cstheme="minorHAnsi"/>
          <w:color w:val="0E101A"/>
          <w:sz w:val="24"/>
          <w:szCs w:val="24"/>
          <w:lang w:eastAsia="en-NZ"/>
        </w:rPr>
        <w:t xml:space="preserve">into reporting in future years. </w:t>
      </w:r>
      <w:r w:rsidR="00766789">
        <w:rPr>
          <w:rFonts w:asciiTheme="minorHAnsi" w:eastAsia="Times New Roman" w:hAnsiTheme="minorHAnsi" w:cstheme="minorHAnsi"/>
          <w:color w:val="0E101A"/>
          <w:sz w:val="24"/>
          <w:szCs w:val="24"/>
          <w:lang w:eastAsia="en-NZ"/>
        </w:rPr>
        <w:t>F</w:t>
      </w:r>
      <w:r w:rsidRPr="00DB6A87">
        <w:rPr>
          <w:rFonts w:asciiTheme="minorHAnsi" w:eastAsia="Times New Roman" w:hAnsiTheme="minorHAnsi" w:cstheme="minorHAnsi"/>
          <w:color w:val="0E101A"/>
          <w:sz w:val="24"/>
          <w:szCs w:val="24"/>
          <w:lang w:eastAsia="en-NZ"/>
        </w:rPr>
        <w:t>or measures that are reported against, not all breakdowns (e.g. geographic) are available for each of these measures. As a result, rather than reflecting the order of the measures in the GPS itself, the report is structured to use the available data this year to tell a narrative around the four priorities. This also avoids repetition since many of the measures are used to report against more than one result.</w:t>
      </w:r>
    </w:p>
    <w:p w14:paraId="59D2CB7C" w14:textId="77777777" w:rsidR="00F72A54" w:rsidRPr="00DB6A87" w:rsidRDefault="00F72A54" w:rsidP="00DB6A87">
      <w:pPr>
        <w:spacing w:after="0" w:line="240" w:lineRule="auto"/>
        <w:rPr>
          <w:rFonts w:asciiTheme="minorHAnsi" w:eastAsia="Times New Roman" w:hAnsiTheme="minorHAnsi" w:cstheme="minorHAnsi"/>
          <w:color w:val="0E101A"/>
          <w:sz w:val="24"/>
          <w:szCs w:val="24"/>
          <w:lang w:eastAsia="en-NZ"/>
        </w:rPr>
      </w:pPr>
    </w:p>
    <w:p w14:paraId="4FA0B671" w14:textId="06875048" w:rsidR="00DB6A87" w:rsidRPr="00DB6A87" w:rsidRDefault="00DB6A87" w:rsidP="00DB6A87">
      <w:pPr>
        <w:spacing w:after="0" w:line="240" w:lineRule="auto"/>
        <w:rPr>
          <w:rFonts w:asciiTheme="minorHAnsi" w:eastAsia="Times New Roman" w:hAnsiTheme="minorHAnsi" w:cstheme="minorHAnsi"/>
          <w:color w:val="0E101A"/>
          <w:sz w:val="24"/>
          <w:szCs w:val="24"/>
          <w:lang w:eastAsia="en-NZ"/>
        </w:rPr>
      </w:pPr>
      <w:r w:rsidRPr="00DB6A87">
        <w:rPr>
          <w:rFonts w:asciiTheme="minorHAnsi" w:eastAsia="Times New Roman" w:hAnsiTheme="minorHAnsi" w:cstheme="minorHAnsi"/>
          <w:color w:val="0E101A"/>
          <w:sz w:val="24"/>
          <w:szCs w:val="24"/>
          <w:lang w:eastAsia="en-NZ"/>
        </w:rPr>
        <w:t xml:space="preserve">The </w:t>
      </w:r>
      <w:r w:rsidR="0089269F">
        <w:rPr>
          <w:rFonts w:asciiTheme="minorHAnsi" w:eastAsia="Times New Roman" w:hAnsiTheme="minorHAnsi" w:cstheme="minorHAnsi"/>
          <w:color w:val="0E101A"/>
          <w:sz w:val="24"/>
          <w:szCs w:val="24"/>
          <w:lang w:eastAsia="en-NZ"/>
        </w:rPr>
        <w:t>measures</w:t>
      </w:r>
      <w:r w:rsidRPr="00DB6A87">
        <w:rPr>
          <w:rFonts w:asciiTheme="minorHAnsi" w:eastAsia="Times New Roman" w:hAnsiTheme="minorHAnsi" w:cstheme="minorHAnsi"/>
          <w:color w:val="0E101A"/>
          <w:sz w:val="24"/>
          <w:szCs w:val="24"/>
          <w:lang w:eastAsia="en-NZ"/>
        </w:rPr>
        <w:t xml:space="preserve"> are not intended to be a ‘scorecard’ of </w:t>
      </w:r>
      <w:r w:rsidR="00766789">
        <w:rPr>
          <w:rFonts w:asciiTheme="minorHAnsi" w:eastAsia="Times New Roman" w:hAnsiTheme="minorHAnsi" w:cstheme="minorHAnsi"/>
          <w:color w:val="0E101A"/>
          <w:sz w:val="24"/>
          <w:szCs w:val="24"/>
          <w:lang w:eastAsia="en-NZ"/>
        </w:rPr>
        <w:t xml:space="preserve">investment in </w:t>
      </w:r>
      <w:r w:rsidRPr="00DB6A87">
        <w:rPr>
          <w:rFonts w:asciiTheme="minorHAnsi" w:eastAsia="Times New Roman" w:hAnsiTheme="minorHAnsi" w:cstheme="minorHAnsi"/>
          <w:color w:val="0E101A"/>
          <w:sz w:val="24"/>
          <w:szCs w:val="24"/>
          <w:lang w:eastAsia="en-NZ"/>
        </w:rPr>
        <w:t xml:space="preserve">the transport system. Some </w:t>
      </w:r>
      <w:r w:rsidR="0089269F">
        <w:rPr>
          <w:rFonts w:asciiTheme="minorHAnsi" w:eastAsia="Times New Roman" w:hAnsiTheme="minorHAnsi" w:cstheme="minorHAnsi"/>
          <w:color w:val="0E101A"/>
          <w:sz w:val="24"/>
          <w:szCs w:val="24"/>
          <w:lang w:eastAsia="en-NZ"/>
        </w:rPr>
        <w:t>measures</w:t>
      </w:r>
      <w:r w:rsidR="0089269F" w:rsidRPr="00DB6A87">
        <w:rPr>
          <w:rFonts w:asciiTheme="minorHAnsi" w:eastAsia="Times New Roman" w:hAnsiTheme="minorHAnsi" w:cstheme="minorHAnsi"/>
          <w:color w:val="0E101A"/>
          <w:sz w:val="24"/>
          <w:szCs w:val="24"/>
          <w:lang w:eastAsia="en-NZ"/>
        </w:rPr>
        <w:t xml:space="preserve"> </w:t>
      </w:r>
      <w:r w:rsidRPr="00DB6A87">
        <w:rPr>
          <w:rFonts w:asciiTheme="minorHAnsi" w:eastAsia="Times New Roman" w:hAnsiTheme="minorHAnsi" w:cstheme="minorHAnsi"/>
          <w:color w:val="0E101A"/>
          <w:sz w:val="24"/>
          <w:szCs w:val="24"/>
          <w:lang w:eastAsia="en-NZ"/>
        </w:rPr>
        <w:t xml:space="preserve">will be more significant than others in terms of their impact, and all the </w:t>
      </w:r>
      <w:r w:rsidR="0089269F">
        <w:rPr>
          <w:rFonts w:asciiTheme="minorHAnsi" w:eastAsia="Times New Roman" w:hAnsiTheme="minorHAnsi" w:cstheme="minorHAnsi"/>
          <w:color w:val="0E101A"/>
          <w:sz w:val="24"/>
          <w:szCs w:val="24"/>
          <w:lang w:eastAsia="en-NZ"/>
        </w:rPr>
        <w:t>measures</w:t>
      </w:r>
      <w:r w:rsidR="0089269F" w:rsidRPr="00DB6A87">
        <w:rPr>
          <w:rFonts w:asciiTheme="minorHAnsi" w:eastAsia="Times New Roman" w:hAnsiTheme="minorHAnsi" w:cstheme="minorHAnsi"/>
          <w:color w:val="0E101A"/>
          <w:sz w:val="24"/>
          <w:szCs w:val="24"/>
          <w:lang w:eastAsia="en-NZ"/>
        </w:rPr>
        <w:t xml:space="preserve"> </w:t>
      </w:r>
      <w:r w:rsidRPr="00DB6A87">
        <w:rPr>
          <w:rFonts w:asciiTheme="minorHAnsi" w:eastAsia="Times New Roman" w:hAnsiTheme="minorHAnsi" w:cstheme="minorHAnsi"/>
          <w:color w:val="0E101A"/>
          <w:sz w:val="24"/>
          <w:szCs w:val="24"/>
          <w:lang w:eastAsia="en-NZ"/>
        </w:rPr>
        <w:t xml:space="preserve">are influenced by a wide range of factors. The intention is that people will use the </w:t>
      </w:r>
      <w:r w:rsidR="0089269F">
        <w:rPr>
          <w:rFonts w:asciiTheme="minorHAnsi" w:eastAsia="Times New Roman" w:hAnsiTheme="minorHAnsi" w:cstheme="minorHAnsi"/>
          <w:color w:val="0E101A"/>
          <w:sz w:val="24"/>
          <w:szCs w:val="24"/>
          <w:lang w:eastAsia="en-NZ"/>
        </w:rPr>
        <w:t>measures</w:t>
      </w:r>
      <w:r w:rsidR="0089269F" w:rsidRPr="00DB6A87">
        <w:rPr>
          <w:rFonts w:asciiTheme="minorHAnsi" w:eastAsia="Times New Roman" w:hAnsiTheme="minorHAnsi" w:cstheme="minorHAnsi"/>
          <w:color w:val="0E101A"/>
          <w:sz w:val="24"/>
          <w:szCs w:val="24"/>
          <w:lang w:eastAsia="en-NZ"/>
        </w:rPr>
        <w:t xml:space="preserve"> </w:t>
      </w:r>
      <w:r w:rsidRPr="00DB6A87">
        <w:rPr>
          <w:rFonts w:asciiTheme="minorHAnsi" w:eastAsia="Times New Roman" w:hAnsiTheme="minorHAnsi" w:cstheme="minorHAnsi"/>
          <w:color w:val="0E101A"/>
          <w:sz w:val="24"/>
          <w:szCs w:val="24"/>
          <w:lang w:eastAsia="en-NZ"/>
        </w:rPr>
        <w:t xml:space="preserve">to draw their conclusions about where the </w:t>
      </w:r>
      <w:r w:rsidR="00766789">
        <w:rPr>
          <w:rFonts w:asciiTheme="minorHAnsi" w:eastAsia="Times New Roman" w:hAnsiTheme="minorHAnsi" w:cstheme="minorHAnsi"/>
          <w:color w:val="0E101A"/>
          <w:sz w:val="24"/>
          <w:szCs w:val="24"/>
          <w:lang w:eastAsia="en-NZ"/>
        </w:rPr>
        <w:t xml:space="preserve">investment </w:t>
      </w:r>
      <w:r w:rsidRPr="00DB6A87">
        <w:rPr>
          <w:rFonts w:asciiTheme="minorHAnsi" w:eastAsia="Times New Roman" w:hAnsiTheme="minorHAnsi" w:cstheme="minorHAnsi"/>
          <w:color w:val="0E101A"/>
          <w:sz w:val="24"/>
          <w:szCs w:val="24"/>
          <w:lang w:eastAsia="en-NZ"/>
        </w:rPr>
        <w:t xml:space="preserve">is performing well </w:t>
      </w:r>
      <w:r w:rsidR="00766789">
        <w:rPr>
          <w:rFonts w:asciiTheme="minorHAnsi" w:eastAsia="Times New Roman" w:hAnsiTheme="minorHAnsi" w:cstheme="minorHAnsi"/>
          <w:color w:val="0E101A"/>
          <w:sz w:val="24"/>
          <w:szCs w:val="24"/>
          <w:lang w:eastAsia="en-NZ"/>
        </w:rPr>
        <w:t xml:space="preserve">against the GPS priorities </w:t>
      </w:r>
      <w:r w:rsidRPr="00DB6A87">
        <w:rPr>
          <w:rFonts w:asciiTheme="minorHAnsi" w:eastAsia="Times New Roman" w:hAnsiTheme="minorHAnsi" w:cstheme="minorHAnsi"/>
          <w:color w:val="0E101A"/>
          <w:sz w:val="24"/>
          <w:szCs w:val="24"/>
          <w:lang w:eastAsia="en-NZ"/>
        </w:rPr>
        <w:t>and where we need to focus more of our efforts.</w:t>
      </w:r>
    </w:p>
    <w:p w14:paraId="2316D176" w14:textId="56F2A8E6" w:rsidR="00DB6A87" w:rsidRDefault="00DB6A87" w:rsidP="00DB6A87">
      <w:pPr>
        <w:spacing w:after="0" w:line="240" w:lineRule="auto"/>
        <w:rPr>
          <w:rFonts w:asciiTheme="minorHAnsi" w:eastAsia="Times New Roman" w:hAnsiTheme="minorHAnsi" w:cstheme="minorHAnsi"/>
          <w:b/>
          <w:bCs/>
          <w:color w:val="0E101A"/>
          <w:sz w:val="24"/>
          <w:szCs w:val="24"/>
          <w:lang w:eastAsia="en-NZ"/>
        </w:rPr>
      </w:pPr>
    </w:p>
    <w:p w14:paraId="3448F1A5" w14:textId="3F43F985" w:rsidR="00BB0851" w:rsidRPr="009B085E" w:rsidRDefault="00DB6A87" w:rsidP="009B085E">
      <w:pPr>
        <w:spacing w:after="0" w:line="240" w:lineRule="auto"/>
        <w:rPr>
          <w:rFonts w:asciiTheme="minorHAnsi" w:eastAsia="Times New Roman" w:hAnsiTheme="minorHAnsi" w:cstheme="minorHAnsi"/>
          <w:color w:val="0E101A"/>
          <w:sz w:val="24"/>
          <w:szCs w:val="24"/>
          <w:lang w:eastAsia="en-NZ"/>
        </w:rPr>
      </w:pPr>
      <w:r w:rsidRPr="00DB6A87">
        <w:rPr>
          <w:rFonts w:asciiTheme="minorHAnsi" w:eastAsia="Times New Roman" w:hAnsiTheme="minorHAnsi" w:cstheme="minorHAnsi"/>
          <w:b/>
          <w:bCs/>
          <w:color w:val="0E101A"/>
          <w:sz w:val="24"/>
          <w:szCs w:val="24"/>
          <w:lang w:eastAsia="en-NZ"/>
        </w:rPr>
        <w:t>Caveat: </w:t>
      </w:r>
      <w:r w:rsidRPr="00DB6A87">
        <w:rPr>
          <w:rFonts w:asciiTheme="minorHAnsi" w:eastAsia="Times New Roman" w:hAnsiTheme="minorHAnsi" w:cstheme="minorHAnsi"/>
          <w:color w:val="0E101A"/>
          <w:sz w:val="24"/>
          <w:szCs w:val="24"/>
          <w:lang w:eastAsia="en-NZ"/>
        </w:rPr>
        <w:t>We cannot directly attribute any changes in outcomes to spend. Many alternative explanations must be taken into consideration, including the impacts of COVID-19 and level-4 lockdown. Likewise, the benefits from investment may take time to realise fully.</w:t>
      </w:r>
      <w:bookmarkEnd w:id="0"/>
      <w:r w:rsidR="00BB0851">
        <w:br w:type="page"/>
      </w:r>
    </w:p>
    <w:p w14:paraId="6D6B1145" w14:textId="77777777" w:rsidR="00195B1E" w:rsidRDefault="00D549FF" w:rsidP="00195B1E">
      <w:pPr>
        <w:pStyle w:val="Title"/>
        <w:rPr>
          <w:b/>
          <w:color w:val="FFC000" w:themeColor="accent4"/>
          <w:u w:val="single"/>
        </w:rPr>
      </w:pPr>
      <w:r w:rsidRPr="00E22404">
        <w:rPr>
          <w:b/>
          <w:color w:val="FFC000" w:themeColor="accent4"/>
          <w:u w:val="single"/>
        </w:rPr>
        <w:lastRenderedPageBreak/>
        <w:t xml:space="preserve">Safety </w:t>
      </w:r>
    </w:p>
    <w:p w14:paraId="3F826519" w14:textId="77777777" w:rsidR="00AA578F" w:rsidRDefault="00AA578F" w:rsidP="00AA578F"/>
    <w:p w14:paraId="6754AFFE" w14:textId="77777777" w:rsidR="00D7272D" w:rsidRPr="00462770" w:rsidRDefault="00D7272D" w:rsidP="00D7272D">
      <w:r w:rsidRPr="0EE0F750">
        <w:t>On average, one person is killed every day on New Zealand roads, and another seven are seriously injured.</w:t>
      </w:r>
      <w:r w:rsidRPr="04898287">
        <w:rPr>
          <w:rStyle w:val="FootnoteReference"/>
        </w:rPr>
        <w:footnoteReference w:id="1"/>
      </w:r>
      <w:r w:rsidRPr="0EE0F750">
        <w:t xml:space="preserve"> Road deaths are the second largest cause of death from injury (after suicide) in New Zealand</w:t>
      </w:r>
      <w:r w:rsidRPr="04898287">
        <w:rPr>
          <w:rStyle w:val="FootnoteReference"/>
        </w:rPr>
        <w:footnoteReference w:id="2"/>
      </w:r>
      <w:r w:rsidRPr="0EE0F750">
        <w:t xml:space="preserve"> and more than half of major trauma injuries treated in our hospitals relate to road crashes.</w:t>
      </w:r>
      <w:r w:rsidRPr="04898287">
        <w:rPr>
          <w:rStyle w:val="FootnoteReference"/>
        </w:rPr>
        <w:footnoteReference w:id="3"/>
      </w:r>
      <w:r w:rsidRPr="0EE0F750">
        <w:t xml:space="preserve"> The total social cost of fatal and injury crashes in 2018 was $4.9 billion (at June 2019 prices)</w:t>
      </w:r>
      <w:r w:rsidRPr="00462770">
        <w:rPr>
          <w:szCs w:val="20"/>
        </w:rPr>
        <w:t>.</w:t>
      </w:r>
      <w:r w:rsidRPr="04898287">
        <w:rPr>
          <w:rStyle w:val="FootnoteReference"/>
        </w:rPr>
        <w:footnoteReference w:id="4"/>
      </w:r>
      <w:r w:rsidRPr="0EE0F750">
        <w:t xml:space="preserve"> New Zealand performs poorly compared with many OECD nations based on road deaths by population, by vehicle number and by kilometres travelled.</w:t>
      </w:r>
      <w:r w:rsidRPr="04898287">
        <w:rPr>
          <w:rStyle w:val="FootnoteReference"/>
        </w:rPr>
        <w:footnoteReference w:id="5"/>
      </w:r>
      <w:r w:rsidRPr="00462770">
        <w:rPr>
          <w:szCs w:val="20"/>
        </w:rPr>
        <w:t xml:space="preserve"> </w:t>
      </w:r>
    </w:p>
    <w:p w14:paraId="36F0946B" w14:textId="77777777" w:rsidR="00D7272D" w:rsidRDefault="00D7272D" w:rsidP="00D7272D">
      <w:r>
        <w:t>To address this problem</w:t>
      </w:r>
      <w:hyperlink r:id="rId12" w:history="1">
        <w:r w:rsidRPr="00AA578F">
          <w:rPr>
            <w:rStyle w:val="Hyperlink"/>
          </w:rPr>
          <w:t xml:space="preserve">, </w:t>
        </w:r>
        <w:r w:rsidRPr="00AA578F">
          <w:rPr>
            <w:rStyle w:val="Hyperlink"/>
            <w:i/>
            <w:iCs/>
          </w:rPr>
          <w:t>Road to Zero</w:t>
        </w:r>
      </w:hyperlink>
      <w:r>
        <w:t xml:space="preserve"> – New Zealand’s road safety strategy for 2020-2030 was published in December 2019. </w:t>
      </w:r>
    </w:p>
    <w:p w14:paraId="467A8AFD" w14:textId="77777777" w:rsidR="00D7272D" w:rsidRDefault="00D7272D" w:rsidP="00D7272D">
      <w:r>
        <w:t>Road to Zero outlines a 10-year strategy to guide improvement in road safety in New Zealand from 2020.</w:t>
      </w:r>
    </w:p>
    <w:p w14:paraId="6632D5A3" w14:textId="77777777" w:rsidR="00D7272D" w:rsidRDefault="00D7272D" w:rsidP="00D7272D">
      <w:pPr>
        <w:rPr>
          <w:iCs/>
        </w:rPr>
      </w:pPr>
      <w:r w:rsidRPr="4C439BDF">
        <w:rPr>
          <w:i/>
          <w:iCs/>
        </w:rPr>
        <w:t xml:space="preserve">Road to Zero </w:t>
      </w:r>
      <w:r>
        <w:t xml:space="preserve">sets out an overarching vision of a New Zealand where no one is killed or seriously injured in road crashes, with a target of 40% reduction in deaths and serious injuries by 2030. </w:t>
      </w:r>
    </w:p>
    <w:p w14:paraId="473AC43A" w14:textId="77777777" w:rsidR="00D7272D" w:rsidRDefault="00D7272D" w:rsidP="00D7272D">
      <w:pPr>
        <w:spacing w:after="0"/>
      </w:pPr>
      <w:r>
        <w:t xml:space="preserve">Road to Zero is supported by an initial Action Plan for 2020-2022. Progress on each of the initial 15 actions in the first Action Plan is key to laying the foundations for Road to Zero’s 10-year change programme, with the delivery of some actions continuing over the term of the strategy. </w:t>
      </w:r>
    </w:p>
    <w:p w14:paraId="3486C222" w14:textId="77777777" w:rsidR="00D7272D" w:rsidRDefault="00D7272D" w:rsidP="00D7272D">
      <w:pPr>
        <w:spacing w:after="0"/>
      </w:pPr>
    </w:p>
    <w:p w14:paraId="30D25CC2" w14:textId="78DFE745" w:rsidR="00D7272D" w:rsidRDefault="00D7272D" w:rsidP="00D7272D">
      <w:pPr>
        <w:spacing w:after="0"/>
      </w:pPr>
      <w:r>
        <w:t>Further information on progress made in 2020 on Road to Zero can be found in the Road to Zero Annual Monitoring Report 2020.</w:t>
      </w:r>
    </w:p>
    <w:p w14:paraId="4EAD332C" w14:textId="77777777" w:rsidR="00AA578F" w:rsidRDefault="00AA578F" w:rsidP="00F620CC"/>
    <w:p w14:paraId="659105A2" w14:textId="77777777" w:rsidR="00F620CC" w:rsidRPr="002174EF" w:rsidRDefault="00F620CC" w:rsidP="00F620CC">
      <w:pPr>
        <w:rPr>
          <w:b/>
        </w:rPr>
      </w:pPr>
      <w:r>
        <w:rPr>
          <w:b/>
        </w:rPr>
        <w:t>Summary of results</w:t>
      </w:r>
    </w:p>
    <w:p w14:paraId="203EAE8B" w14:textId="77777777" w:rsidR="00D01AEB" w:rsidRDefault="00F620CC" w:rsidP="00D7272D">
      <w:r>
        <w:t>2019/20 has seen a decline in the total number of road deaths (293 down from 372 in 2018/19) and serious injuries (2,224 down from 2,536 in 2018/19</w:t>
      </w:r>
      <w:r w:rsidR="009F58DB">
        <w:t>)</w:t>
      </w:r>
      <w:r>
        <w:t>.</w:t>
      </w:r>
    </w:p>
    <w:p w14:paraId="749AA937" w14:textId="5DF522A3" w:rsidR="00D7272D" w:rsidRDefault="00D7272D" w:rsidP="00D7272D">
      <w:r>
        <w:t>The temporary but recurring COVID-19 alert level travel restrictions imposed from March 2020 is likely to be one of the biggest contributing factors for the reduction in DSIs.</w:t>
      </w:r>
    </w:p>
    <w:p w14:paraId="347CE63B" w14:textId="77777777" w:rsidR="00D7272D" w:rsidRPr="00690693" w:rsidRDefault="00D7272D" w:rsidP="00D7272D"/>
    <w:p w14:paraId="07921237" w14:textId="12B62414" w:rsidR="00F620CC" w:rsidRDefault="00F620CC" w:rsidP="00F620CC"/>
    <w:p w14:paraId="7092D38D" w14:textId="7485D2EC" w:rsidR="00DB6A87" w:rsidRDefault="00DB6A87" w:rsidP="00F620CC"/>
    <w:p w14:paraId="4CF9B07A" w14:textId="696F7885" w:rsidR="00DB6A87" w:rsidRDefault="00DB6A87" w:rsidP="00F620CC"/>
    <w:p w14:paraId="746F76B5" w14:textId="52C32E33" w:rsidR="00DB6A87" w:rsidRDefault="00DB6A87" w:rsidP="00F620CC"/>
    <w:p w14:paraId="24D04C0C" w14:textId="77777777" w:rsidR="00DB6A87" w:rsidRPr="00690693" w:rsidRDefault="00DB6A87" w:rsidP="00F620CC"/>
    <w:p w14:paraId="09D16CD9" w14:textId="77777777" w:rsidR="00F620CC" w:rsidRPr="00E22404" w:rsidRDefault="00F620CC" w:rsidP="00F620CC">
      <w:pPr>
        <w:pStyle w:val="Heading1"/>
        <w:ind w:left="0"/>
        <w:rPr>
          <w:color w:val="FFC000" w:themeColor="accent4"/>
        </w:rPr>
      </w:pPr>
      <w:bookmarkStart w:id="1" w:name="_Toc57638708"/>
      <w:bookmarkStart w:id="2" w:name="_Toc59174405"/>
      <w:r w:rsidRPr="00E22404">
        <w:rPr>
          <w:rStyle w:val="Strong"/>
          <w:b/>
          <w:bCs/>
          <w:color w:val="FFC000" w:themeColor="accent4"/>
        </w:rPr>
        <w:lastRenderedPageBreak/>
        <w:t>Deaths and injuries</w:t>
      </w:r>
      <w:bookmarkEnd w:id="1"/>
      <w:bookmarkEnd w:id="2"/>
    </w:p>
    <w:tbl>
      <w:tblPr>
        <w:tblStyle w:val="GridTable4-Accent4"/>
        <w:tblW w:w="5000" w:type="pct"/>
        <w:tblLook w:val="04A0" w:firstRow="1" w:lastRow="0" w:firstColumn="1" w:lastColumn="0" w:noHBand="0" w:noVBand="1"/>
      </w:tblPr>
      <w:tblGrid>
        <w:gridCol w:w="8085"/>
        <w:gridCol w:w="2371"/>
      </w:tblGrid>
      <w:tr w:rsidR="00AA41EB" w:rsidRPr="00876B95" w14:paraId="6A05F558" w14:textId="77777777" w:rsidTr="00AA41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6" w:type="pct"/>
          </w:tcPr>
          <w:p w14:paraId="42498265" w14:textId="77777777" w:rsidR="00AA41EB" w:rsidRPr="009E2764" w:rsidRDefault="00AA41EB" w:rsidP="00E73878">
            <w:pPr>
              <w:jc w:val="center"/>
              <w:rPr>
                <w:noProof/>
                <w:lang w:eastAsia="en-NZ"/>
              </w:rPr>
            </w:pPr>
            <w:r>
              <w:rPr>
                <w:noProof/>
                <w:lang w:eastAsia="en-NZ"/>
              </w:rPr>
              <w:t>Data</w:t>
            </w:r>
          </w:p>
        </w:tc>
        <w:tc>
          <w:tcPr>
            <w:tcW w:w="1134" w:type="pct"/>
          </w:tcPr>
          <w:p w14:paraId="191C340F" w14:textId="77777777" w:rsidR="00AA41EB" w:rsidRPr="009E2764" w:rsidRDefault="00AA41EB" w:rsidP="00E73878">
            <w:pPr>
              <w:jc w:val="center"/>
              <w:cnfStyle w:val="100000000000" w:firstRow="1" w:lastRow="0" w:firstColumn="0" w:lastColumn="0" w:oddVBand="0" w:evenVBand="0" w:oddHBand="0" w:evenHBand="0" w:firstRowFirstColumn="0" w:firstRowLastColumn="0" w:lastRowFirstColumn="0" w:lastRowLastColumn="0"/>
              <w:rPr>
                <w:sz w:val="20"/>
              </w:rPr>
            </w:pPr>
            <w:r>
              <w:rPr>
                <w:sz w:val="20"/>
              </w:rPr>
              <w:t>Findings</w:t>
            </w:r>
          </w:p>
        </w:tc>
      </w:tr>
      <w:tr w:rsidR="00AA41EB" w:rsidRPr="00876B95" w14:paraId="7491C88D" w14:textId="77777777" w:rsidTr="00AA4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6" w:type="pct"/>
          </w:tcPr>
          <w:p w14:paraId="01A21F44" w14:textId="77777777" w:rsidR="00AA41EB" w:rsidRPr="00BA0BD0" w:rsidRDefault="00AA41EB" w:rsidP="00E73878">
            <w:r>
              <w:rPr>
                <w:noProof/>
                <w:lang w:eastAsia="en-NZ"/>
              </w:rPr>
              <w:drawing>
                <wp:inline distT="0" distB="0" distL="0" distR="0" wp14:anchorId="125DEF54" wp14:editId="38B32216">
                  <wp:extent cx="4121063" cy="2505205"/>
                  <wp:effectExtent l="0" t="0" r="13335" b="952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1134" w:type="pct"/>
          </w:tcPr>
          <w:p w14:paraId="43963591" w14:textId="59BBB27A" w:rsidR="00AA41EB" w:rsidRPr="00690693" w:rsidRDefault="00AA41EB" w:rsidP="003C3161">
            <w:pPr>
              <w:cnfStyle w:val="000000100000" w:firstRow="0" w:lastRow="0" w:firstColumn="0" w:lastColumn="0" w:oddVBand="0" w:evenVBand="0" w:oddHBand="1" w:evenHBand="0" w:firstRowFirstColumn="0" w:firstRowLastColumn="0" w:lastRowFirstColumn="0" w:lastRowLastColumn="0"/>
            </w:pPr>
            <w:r w:rsidRPr="00690693">
              <w:t>There w</w:t>
            </w:r>
            <w:r>
              <w:t xml:space="preserve">as a total of 293 deaths in 2019/20. This represents a </w:t>
            </w:r>
            <w:r w:rsidR="009F58DB">
              <w:t>21</w:t>
            </w:r>
            <w:r>
              <w:t>% decrease from the previous year (2018/19)</w:t>
            </w:r>
            <w:r w:rsidR="00E36BDC">
              <w:t>.</w:t>
            </w:r>
          </w:p>
        </w:tc>
      </w:tr>
      <w:tr w:rsidR="00AA41EB" w:rsidRPr="00876B95" w14:paraId="652A5D1C" w14:textId="77777777" w:rsidTr="00AA41EB">
        <w:tc>
          <w:tcPr>
            <w:cnfStyle w:val="001000000000" w:firstRow="0" w:lastRow="0" w:firstColumn="1" w:lastColumn="0" w:oddVBand="0" w:evenVBand="0" w:oddHBand="0" w:evenHBand="0" w:firstRowFirstColumn="0" w:firstRowLastColumn="0" w:lastRowFirstColumn="0" w:lastRowLastColumn="0"/>
            <w:tcW w:w="3866" w:type="pct"/>
          </w:tcPr>
          <w:p w14:paraId="17C7BC77" w14:textId="77777777" w:rsidR="00AA41EB" w:rsidRPr="00BA0BD0" w:rsidRDefault="00AA41EB" w:rsidP="00E73878">
            <w:r>
              <w:rPr>
                <w:noProof/>
                <w:lang w:eastAsia="en-NZ"/>
              </w:rPr>
              <w:drawing>
                <wp:inline distT="0" distB="0" distL="0" distR="0" wp14:anchorId="4B2F8527" wp14:editId="7913F6DE">
                  <wp:extent cx="4120515" cy="2574099"/>
                  <wp:effectExtent l="0" t="0" r="13335" b="1714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1134" w:type="pct"/>
          </w:tcPr>
          <w:p w14:paraId="6495E2CA" w14:textId="42215651" w:rsidR="00AA41EB" w:rsidRPr="008730FA" w:rsidRDefault="00AA41EB" w:rsidP="003C3161">
            <w:pPr>
              <w:cnfStyle w:val="000000000000" w:firstRow="0" w:lastRow="0" w:firstColumn="0" w:lastColumn="0" w:oddVBand="0" w:evenVBand="0" w:oddHBand="0" w:evenHBand="0" w:firstRowFirstColumn="0" w:firstRowLastColumn="0" w:lastRowFirstColumn="0" w:lastRowLastColumn="0"/>
            </w:pPr>
            <w:r>
              <w:t>There was a total of 2,224 serious road injuries in 2019/20. This represents a 12% decrease from the previous year (2018/19)</w:t>
            </w:r>
            <w:r w:rsidR="00E36BDC">
              <w:t>.</w:t>
            </w:r>
          </w:p>
        </w:tc>
      </w:tr>
      <w:tr w:rsidR="00AA41EB" w:rsidRPr="00876B95" w14:paraId="4E79F2D7" w14:textId="77777777" w:rsidTr="00AA4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6" w:type="pct"/>
          </w:tcPr>
          <w:p w14:paraId="2542F36F" w14:textId="6F1BFDF6" w:rsidR="00AA41EB" w:rsidRPr="00BA0BD0" w:rsidRDefault="00AA41EB" w:rsidP="00E73878">
            <w:r>
              <w:rPr>
                <w:noProof/>
                <w:lang w:eastAsia="en-NZ"/>
              </w:rPr>
              <w:drawing>
                <wp:inline distT="0" distB="0" distL="0" distR="0" wp14:anchorId="0DF28A5A" wp14:editId="2CB26129">
                  <wp:extent cx="4118400" cy="2498400"/>
                  <wp:effectExtent l="0" t="0" r="15875" b="1651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1134" w:type="pct"/>
          </w:tcPr>
          <w:p w14:paraId="1481B142" w14:textId="1F304C49" w:rsidR="00AA41EB" w:rsidRPr="008730FA" w:rsidRDefault="00AA41EB" w:rsidP="003C3161">
            <w:pPr>
              <w:cnfStyle w:val="000000100000" w:firstRow="0" w:lastRow="0" w:firstColumn="0" w:lastColumn="0" w:oddVBand="0" w:evenVBand="0" w:oddHBand="1" w:evenHBand="0" w:firstRowFirstColumn="0" w:firstRowLastColumn="0" w:lastRowFirstColumn="0" w:lastRowLastColumn="0"/>
            </w:pPr>
            <w:r>
              <w:t>There was a total of 2,517 road-crash-related hospitalisations in 2019/20. This represents a 13</w:t>
            </w:r>
            <w:r w:rsidR="000119AB">
              <w:t>.4</w:t>
            </w:r>
            <w:r>
              <w:t>% decrease from the previous year (2018/19)</w:t>
            </w:r>
            <w:r w:rsidR="00E36BDC">
              <w:t>.</w:t>
            </w:r>
          </w:p>
        </w:tc>
      </w:tr>
      <w:tr w:rsidR="00E31C26" w:rsidRPr="00876B95" w14:paraId="657DA64D" w14:textId="77777777" w:rsidTr="00E31C26">
        <w:tc>
          <w:tcPr>
            <w:cnfStyle w:val="001000000000" w:firstRow="0" w:lastRow="0" w:firstColumn="1" w:lastColumn="0" w:oddVBand="0" w:evenVBand="0" w:oddHBand="0" w:evenHBand="0" w:firstRowFirstColumn="0" w:firstRowLastColumn="0" w:lastRowFirstColumn="0" w:lastRowLastColumn="0"/>
            <w:tcW w:w="3866" w:type="pct"/>
          </w:tcPr>
          <w:p w14:paraId="1C442636" w14:textId="0AF30738" w:rsidR="00E31C26" w:rsidRDefault="00E31C26" w:rsidP="00E73878">
            <w:pPr>
              <w:rPr>
                <w:noProof/>
                <w:lang w:eastAsia="en-NZ"/>
              </w:rPr>
            </w:pPr>
            <w:r>
              <w:rPr>
                <w:noProof/>
                <w:lang w:eastAsia="en-NZ"/>
              </w:rPr>
              <w:lastRenderedPageBreak/>
              <w:drawing>
                <wp:inline distT="0" distB="0" distL="0" distR="0" wp14:anchorId="2868A79E" wp14:editId="777601DA">
                  <wp:extent cx="4487517" cy="2767965"/>
                  <wp:effectExtent l="0" t="0" r="8890" b="13335"/>
                  <wp:docPr id="7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1134" w:type="pct"/>
          </w:tcPr>
          <w:p w14:paraId="686220C1" w14:textId="5A8B4A8D" w:rsidR="00E31C26" w:rsidRDefault="00224A65" w:rsidP="003C3161">
            <w:pPr>
              <w:cnfStyle w:val="000000000000" w:firstRow="0" w:lastRow="0" w:firstColumn="0" w:lastColumn="0" w:oddVBand="0" w:evenVBand="0" w:oddHBand="0" w:evenHBand="0" w:firstRowFirstColumn="0" w:firstRowLastColumn="0" w:lastRowFirstColumn="0" w:lastRowLastColumn="0"/>
            </w:pPr>
            <w:r>
              <w:t>In 2019/20 there were 2</w:t>
            </w:r>
            <w:r w:rsidR="002218C2">
              <w:t>,</w:t>
            </w:r>
            <w:r>
              <w:t>777 pedestrian</w:t>
            </w:r>
            <w:r w:rsidR="002218C2">
              <w:t>-related ACC entitlement claims</w:t>
            </w:r>
            <w:r>
              <w:t>. This compares to 1</w:t>
            </w:r>
            <w:r w:rsidR="002218C2">
              <w:t>,</w:t>
            </w:r>
            <w:r>
              <w:t>265 cyclist</w:t>
            </w:r>
            <w:r w:rsidR="002218C2">
              <w:t>-related entitlement claims</w:t>
            </w:r>
            <w:r>
              <w:t xml:space="preserve">. </w:t>
            </w:r>
          </w:p>
          <w:p w14:paraId="51FBE1B6" w14:textId="77777777" w:rsidR="00224A65" w:rsidRDefault="00224A65" w:rsidP="003C3161">
            <w:pPr>
              <w:cnfStyle w:val="000000000000" w:firstRow="0" w:lastRow="0" w:firstColumn="0" w:lastColumn="0" w:oddVBand="0" w:evenVBand="0" w:oddHBand="0" w:evenHBand="0" w:firstRowFirstColumn="0" w:firstRowLastColumn="0" w:lastRowFirstColumn="0" w:lastRowLastColumn="0"/>
            </w:pPr>
          </w:p>
          <w:p w14:paraId="7D7AA7A0" w14:textId="2C084EA2" w:rsidR="00224A65" w:rsidRDefault="002218C2" w:rsidP="003C3161">
            <w:pPr>
              <w:cnfStyle w:val="000000000000" w:firstRow="0" w:lastRow="0" w:firstColumn="0" w:lastColumn="0" w:oddVBand="0" w:evenVBand="0" w:oddHBand="0" w:evenHBand="0" w:firstRowFirstColumn="0" w:firstRowLastColumn="0" w:lastRowFirstColumn="0" w:lastRowLastColumn="0"/>
            </w:pPr>
            <w:r>
              <w:t xml:space="preserve">This measure </w:t>
            </w:r>
            <w:r w:rsidR="00224A65">
              <w:t xml:space="preserve">includes pedestrian and cyclist injuries that may or may not include a motor vehicle, and therefore, provides a more complete picture on pedestrian and cyclist injuries.  </w:t>
            </w:r>
          </w:p>
        </w:tc>
      </w:tr>
    </w:tbl>
    <w:p w14:paraId="3765EEFC" w14:textId="77777777" w:rsidR="00F620CC" w:rsidRDefault="00F620CC" w:rsidP="00F620CC">
      <w:pPr>
        <w:pStyle w:val="Heading1"/>
        <w:ind w:left="0"/>
      </w:pPr>
    </w:p>
    <w:tbl>
      <w:tblPr>
        <w:tblpPr w:leftFromText="180" w:rightFromText="180" w:vertAnchor="text" w:horzAnchor="margin" w:tblpY="-28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F620CC" w:rsidRPr="00BA0BD0" w14:paraId="01316829" w14:textId="77777777" w:rsidTr="00AA41EB">
        <w:trPr>
          <w:trHeight w:val="1020"/>
        </w:trPr>
        <w:tc>
          <w:tcPr>
            <w:tcW w:w="10485" w:type="dxa"/>
            <w:shd w:val="clear" w:color="auto" w:fill="D0CECE" w:themeFill="background2" w:themeFillShade="E6"/>
          </w:tcPr>
          <w:p w14:paraId="5C8DFAF5" w14:textId="5FCC0C3D" w:rsidR="00F620CC" w:rsidRPr="00B40F9F" w:rsidRDefault="00F620CC" w:rsidP="00E73878">
            <w:pPr>
              <w:keepNext/>
              <w:spacing w:after="0"/>
              <w:ind w:left="17"/>
              <w:rPr>
                <w:rFonts w:asciiTheme="minorHAnsi" w:hAnsiTheme="minorHAnsi" w:cstheme="minorHAnsi"/>
                <w:b/>
                <w:color w:val="000000" w:themeColor="text1"/>
                <w:sz w:val="16"/>
                <w:szCs w:val="16"/>
              </w:rPr>
            </w:pPr>
            <w:r w:rsidRPr="00B40F9F">
              <w:rPr>
                <w:rFonts w:asciiTheme="minorHAnsi" w:hAnsiTheme="minorHAnsi" w:cstheme="minorHAnsi"/>
                <w:b/>
                <w:color w:val="000000" w:themeColor="text1"/>
                <w:sz w:val="16"/>
                <w:szCs w:val="16"/>
              </w:rPr>
              <w:t>About these indicators</w:t>
            </w:r>
          </w:p>
          <w:p w14:paraId="4DE178CC" w14:textId="77777777" w:rsidR="00F620CC" w:rsidRPr="00B40F9F" w:rsidRDefault="00F620CC" w:rsidP="00E73878">
            <w:pPr>
              <w:pStyle w:val="ListParagraph"/>
              <w:numPr>
                <w:ilvl w:val="0"/>
                <w:numId w:val="1"/>
              </w:numPr>
              <w:ind w:left="736"/>
              <w:rPr>
                <w:rFonts w:asciiTheme="minorHAnsi" w:hAnsiTheme="minorHAnsi" w:cstheme="minorHAnsi"/>
                <w:color w:val="000000"/>
                <w:sz w:val="16"/>
                <w:szCs w:val="16"/>
              </w:rPr>
            </w:pPr>
            <w:r w:rsidRPr="00B40F9F">
              <w:rPr>
                <w:rFonts w:asciiTheme="minorHAnsi" w:hAnsiTheme="minorHAnsi" w:cstheme="minorHAnsi"/>
                <w:sz w:val="16"/>
                <w:szCs w:val="16"/>
              </w:rPr>
              <w:t>Data on road deaths and road serious injuries are from the Crash Analysis System (CAS), administered by Waka Kotahi.</w:t>
            </w:r>
          </w:p>
          <w:p w14:paraId="5DE4043F" w14:textId="77777777" w:rsidR="00F620CC" w:rsidRPr="00B40F9F" w:rsidRDefault="00F620CC" w:rsidP="00E73878">
            <w:pPr>
              <w:pStyle w:val="ListParagraph"/>
              <w:numPr>
                <w:ilvl w:val="0"/>
                <w:numId w:val="1"/>
              </w:numPr>
              <w:ind w:left="1324"/>
              <w:rPr>
                <w:rFonts w:asciiTheme="minorHAnsi" w:hAnsiTheme="minorHAnsi" w:cstheme="minorHAnsi"/>
                <w:color w:val="000000"/>
                <w:sz w:val="16"/>
                <w:szCs w:val="16"/>
              </w:rPr>
            </w:pPr>
            <w:r w:rsidRPr="00B40F9F">
              <w:rPr>
                <w:rFonts w:asciiTheme="minorHAnsi" w:hAnsiTheme="minorHAnsi" w:cstheme="minorHAnsi"/>
                <w:sz w:val="16"/>
                <w:szCs w:val="16"/>
              </w:rPr>
              <w:t>Road deaths are defined as the instance where an injury or multiple injuries resulted in death within 30 days of when the crash happened. It does not include deaths that did not result from injuries sustained in the crash (e.g. when the coroner determines that a driver died from a heart attack), nor does it include suicide or murder. Only crashes that occurred on public roads are included. Pedestrians are only included where a motor vehicle was involved.</w:t>
            </w:r>
          </w:p>
          <w:p w14:paraId="0F83D26F" w14:textId="40FF6EFF" w:rsidR="00F620CC" w:rsidRPr="00B40F9F" w:rsidRDefault="00F620CC" w:rsidP="00E73878">
            <w:pPr>
              <w:pStyle w:val="ListParagraph"/>
              <w:numPr>
                <w:ilvl w:val="0"/>
                <w:numId w:val="1"/>
              </w:numPr>
              <w:ind w:left="1324"/>
              <w:rPr>
                <w:rFonts w:asciiTheme="minorHAnsi" w:hAnsiTheme="minorHAnsi" w:cstheme="minorHAnsi"/>
                <w:color w:val="000000"/>
                <w:sz w:val="16"/>
                <w:szCs w:val="16"/>
              </w:rPr>
            </w:pPr>
            <w:r w:rsidRPr="00B40F9F">
              <w:rPr>
                <w:rFonts w:asciiTheme="minorHAnsi" w:hAnsiTheme="minorHAnsi" w:cstheme="minorHAnsi"/>
                <w:sz w:val="16"/>
                <w:szCs w:val="16"/>
              </w:rPr>
              <w:t xml:space="preserve">Road serious injuries include fractures, concussions, internal injuries, crushing’s, severe cuts, lacerations, severe general shock necessitating medical treatment, and any other injury requiring hospital </w:t>
            </w:r>
            <w:r w:rsidR="009F58DB">
              <w:rPr>
                <w:rFonts w:asciiTheme="minorHAnsi" w:hAnsiTheme="minorHAnsi" w:cstheme="minorHAnsi"/>
                <w:sz w:val="16"/>
                <w:szCs w:val="16"/>
              </w:rPr>
              <w:t xml:space="preserve">detention or </w:t>
            </w:r>
            <w:r w:rsidRPr="00B40F9F">
              <w:rPr>
                <w:rFonts w:asciiTheme="minorHAnsi" w:hAnsiTheme="minorHAnsi" w:cstheme="minorHAnsi"/>
                <w:sz w:val="16"/>
                <w:szCs w:val="16"/>
              </w:rPr>
              <w:t>admission</w:t>
            </w:r>
            <w:r w:rsidR="009F58DB">
              <w:rPr>
                <w:rFonts w:asciiTheme="minorHAnsi" w:hAnsiTheme="minorHAnsi" w:cstheme="minorHAnsi"/>
                <w:sz w:val="16"/>
                <w:szCs w:val="16"/>
              </w:rPr>
              <w:t>.</w:t>
            </w:r>
          </w:p>
          <w:p w14:paraId="315BB66F" w14:textId="77777777" w:rsidR="00F620CC" w:rsidRPr="00224A65" w:rsidRDefault="00F620CC" w:rsidP="00E73878">
            <w:pPr>
              <w:pStyle w:val="ListParagraph"/>
              <w:numPr>
                <w:ilvl w:val="0"/>
                <w:numId w:val="1"/>
              </w:numPr>
              <w:ind w:left="736"/>
              <w:rPr>
                <w:color w:val="000000"/>
                <w:sz w:val="16"/>
              </w:rPr>
            </w:pPr>
            <w:r w:rsidRPr="00B40F9F">
              <w:rPr>
                <w:rStyle w:val="Strong"/>
                <w:rFonts w:asciiTheme="minorHAnsi" w:hAnsiTheme="minorHAnsi" w:cstheme="minorHAnsi"/>
                <w:b w:val="0"/>
                <w:sz w:val="16"/>
                <w:szCs w:val="16"/>
              </w:rPr>
              <w:t xml:space="preserve">Data on the number of people hospitalised because of road crashes are from the National Minimum Dataset (NMDS), administered by the Ministry of Health. </w:t>
            </w:r>
            <w:r w:rsidRPr="00B40F9F">
              <w:rPr>
                <w:rFonts w:asciiTheme="minorHAnsi" w:hAnsiTheme="minorHAnsi" w:cstheme="minorHAnsi"/>
                <w:sz w:val="16"/>
                <w:szCs w:val="16"/>
              </w:rPr>
              <w:t>Only crashes that occurred on public roads are included. Pedestrians are only included where a motor vehicle was involved.</w:t>
            </w:r>
          </w:p>
          <w:p w14:paraId="747AC6BC" w14:textId="77777777" w:rsidR="00224A65" w:rsidRDefault="00224A65" w:rsidP="00E73878">
            <w:pPr>
              <w:pStyle w:val="ListParagraph"/>
              <w:numPr>
                <w:ilvl w:val="0"/>
                <w:numId w:val="1"/>
              </w:numPr>
              <w:ind w:left="736"/>
              <w:rPr>
                <w:rFonts w:asciiTheme="minorHAnsi" w:hAnsiTheme="minorHAnsi" w:cstheme="minorHAnsi"/>
                <w:color w:val="000000"/>
                <w:sz w:val="16"/>
              </w:rPr>
            </w:pPr>
            <w:r w:rsidRPr="00224A65">
              <w:rPr>
                <w:rFonts w:asciiTheme="minorHAnsi" w:hAnsiTheme="minorHAnsi" w:cstheme="minorHAnsi"/>
                <w:color w:val="000000"/>
                <w:sz w:val="16"/>
              </w:rPr>
              <w:t xml:space="preserve">Pedestrian </w:t>
            </w:r>
            <w:r>
              <w:rPr>
                <w:rFonts w:asciiTheme="minorHAnsi" w:hAnsiTheme="minorHAnsi" w:cstheme="minorHAnsi"/>
                <w:color w:val="000000"/>
                <w:sz w:val="16"/>
              </w:rPr>
              <w:t xml:space="preserve">and cyclist injury data source: ACC entitlement claim data. </w:t>
            </w:r>
          </w:p>
          <w:p w14:paraId="7B714126" w14:textId="77777777" w:rsidR="00224A65" w:rsidRDefault="00224A65" w:rsidP="000119AB">
            <w:pPr>
              <w:pStyle w:val="ListParagraph"/>
              <w:numPr>
                <w:ilvl w:val="1"/>
                <w:numId w:val="1"/>
              </w:numPr>
              <w:rPr>
                <w:rFonts w:asciiTheme="minorHAnsi" w:hAnsiTheme="minorHAnsi" w:cstheme="minorHAnsi"/>
                <w:color w:val="000000"/>
                <w:sz w:val="16"/>
              </w:rPr>
            </w:pPr>
            <w:r>
              <w:rPr>
                <w:rFonts w:asciiTheme="minorHAnsi" w:hAnsiTheme="minorHAnsi" w:cstheme="minorHAnsi"/>
                <w:color w:val="000000"/>
                <w:sz w:val="16"/>
              </w:rPr>
              <w:t>This is based on the number of entitlement claims related to walking and cycling injuries. It includes on-road accidents but does not include off-road walking and cycling activities such as mountain biking or bush walking. Entitlement claims are defined by ACC and are considered to cover moderate to serious injuries requiring entitlement beyond medical treatment only.</w:t>
            </w:r>
            <w:r w:rsidR="000119AB" w:rsidDel="000119AB">
              <w:rPr>
                <w:rFonts w:asciiTheme="minorHAnsi" w:hAnsiTheme="minorHAnsi" w:cstheme="minorHAnsi"/>
                <w:color w:val="000000"/>
                <w:sz w:val="16"/>
              </w:rPr>
              <w:t xml:space="preserve"> </w:t>
            </w:r>
          </w:p>
          <w:p w14:paraId="4F2CB53B" w14:textId="19E75157" w:rsidR="00C56546" w:rsidRPr="00C56546" w:rsidRDefault="00C56546" w:rsidP="00C56546">
            <w:pPr>
              <w:spacing w:after="0" w:line="240" w:lineRule="auto"/>
              <w:rPr>
                <w:rFonts w:asciiTheme="minorHAnsi" w:eastAsia="Times New Roman" w:hAnsiTheme="minorHAnsi" w:cstheme="minorHAnsi"/>
                <w:color w:val="0E101A"/>
                <w:sz w:val="16"/>
                <w:szCs w:val="24"/>
                <w:lang w:eastAsia="en-NZ"/>
              </w:rPr>
            </w:pPr>
            <w:r w:rsidRPr="00C56546">
              <w:rPr>
                <w:rFonts w:asciiTheme="minorHAnsi" w:eastAsia="Times New Roman" w:hAnsiTheme="minorHAnsi" w:cstheme="minorHAnsi"/>
                <w:b/>
                <w:bCs/>
                <w:color w:val="0E101A"/>
                <w:sz w:val="16"/>
                <w:szCs w:val="24"/>
                <w:lang w:eastAsia="en-NZ"/>
              </w:rPr>
              <w:t>Please note: </w:t>
            </w:r>
            <w:r w:rsidRPr="00C56546">
              <w:rPr>
                <w:rFonts w:asciiTheme="minorHAnsi" w:eastAsia="Times New Roman" w:hAnsiTheme="minorHAnsi" w:cstheme="minorHAnsi"/>
                <w:color w:val="0E101A"/>
                <w:sz w:val="16"/>
                <w:szCs w:val="24"/>
                <w:lang w:eastAsia="en-NZ"/>
              </w:rPr>
              <w:t>Data is provided by financial year where available and as otherwise provided by calendar year.</w:t>
            </w:r>
          </w:p>
        </w:tc>
      </w:tr>
    </w:tbl>
    <w:p w14:paraId="7C4340C6" w14:textId="77777777" w:rsidR="00C62AA6" w:rsidRDefault="00C62AA6" w:rsidP="004A0965">
      <w:pPr>
        <w:pStyle w:val="Heading1"/>
        <w:spacing w:before="120" w:after="120"/>
        <w:ind w:left="0" w:right="-28"/>
        <w:rPr>
          <w:rFonts w:ascii="Arial" w:eastAsiaTheme="minorHAnsi" w:hAnsi="Arial" w:cs="Arial"/>
          <w:b w:val="0"/>
          <w:bCs w:val="0"/>
          <w:sz w:val="22"/>
          <w:szCs w:val="22"/>
          <w:lang w:eastAsia="en-US" w:bidi="ar-SA"/>
        </w:rPr>
      </w:pPr>
      <w:bookmarkStart w:id="3" w:name="_Hlk70424423"/>
    </w:p>
    <w:p w14:paraId="5A55D423" w14:textId="4782B414" w:rsidR="001062E2" w:rsidRDefault="00175C93" w:rsidP="004A0965">
      <w:pPr>
        <w:pStyle w:val="Heading1"/>
        <w:spacing w:before="120" w:after="120"/>
        <w:ind w:left="0" w:right="-28"/>
        <w:rPr>
          <w:rFonts w:ascii="Arial" w:eastAsia="Arial" w:hAnsi="Arial" w:cs="Arial"/>
          <w:color w:val="FFC000" w:themeColor="accent4"/>
          <w:sz w:val="22"/>
          <w:szCs w:val="22"/>
        </w:rPr>
      </w:pPr>
      <w:r>
        <w:rPr>
          <w:rFonts w:ascii="Arial" w:eastAsia="Arial" w:hAnsi="Arial" w:cs="Arial"/>
          <w:color w:val="FFC000" w:themeColor="accent4"/>
          <w:sz w:val="22"/>
          <w:szCs w:val="22"/>
        </w:rPr>
        <w:t>I</w:t>
      </w:r>
      <w:r w:rsidR="004A0965" w:rsidRPr="00E22404">
        <w:rPr>
          <w:rFonts w:ascii="Arial" w:eastAsia="Arial" w:hAnsi="Arial" w:cs="Arial"/>
          <w:color w:val="FFC000" w:themeColor="accent4"/>
          <w:sz w:val="22"/>
          <w:szCs w:val="22"/>
        </w:rPr>
        <w:t>nvestment</w:t>
      </w:r>
      <w:r>
        <w:rPr>
          <w:rFonts w:ascii="Arial" w:eastAsia="Arial" w:hAnsi="Arial" w:cs="Arial"/>
          <w:color w:val="FFC000" w:themeColor="accent4"/>
          <w:sz w:val="22"/>
          <w:szCs w:val="22"/>
        </w:rPr>
        <w:t xml:space="preserve"> in safety</w:t>
      </w:r>
    </w:p>
    <w:p w14:paraId="3CD303FD" w14:textId="74FE5AA2" w:rsidR="00216868" w:rsidRPr="00F424E5" w:rsidRDefault="001062E2" w:rsidP="001062E2">
      <w:r w:rsidRPr="00F424E5">
        <w:t xml:space="preserve">In 2019/20, a total of $1.503 billion </w:t>
      </w:r>
      <w:r w:rsidR="00216868">
        <w:t xml:space="preserve">of the investment </w:t>
      </w:r>
      <w:r w:rsidRPr="00F424E5">
        <w:t>across various activity classes</w:t>
      </w:r>
      <w:r w:rsidR="00216868">
        <w:t xml:space="preserve"> contributed to the GPS priority on Safety</w:t>
      </w:r>
      <w:r w:rsidRPr="00F424E5">
        <w:t>.</w:t>
      </w:r>
    </w:p>
    <w:tbl>
      <w:tblPr>
        <w:tblStyle w:val="GridTable4-Accent4"/>
        <w:tblW w:w="10456" w:type="dxa"/>
        <w:tblLook w:val="04A0" w:firstRow="1" w:lastRow="0" w:firstColumn="1" w:lastColumn="0" w:noHBand="0" w:noVBand="1"/>
      </w:tblPr>
      <w:tblGrid>
        <w:gridCol w:w="3601"/>
        <w:gridCol w:w="1510"/>
        <w:gridCol w:w="1688"/>
        <w:gridCol w:w="1514"/>
        <w:gridCol w:w="2143"/>
      </w:tblGrid>
      <w:tr w:rsidR="00156BA2" w:rsidRPr="00F424E5" w14:paraId="7AB59983" w14:textId="77777777" w:rsidTr="00C62A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vMerge w:val="restart"/>
          </w:tcPr>
          <w:p w14:paraId="3F1A15A2" w14:textId="77777777" w:rsidR="00156BA2" w:rsidRPr="00F424E5" w:rsidRDefault="00156BA2" w:rsidP="00C62AA6">
            <w:pPr>
              <w:jc w:val="center"/>
              <w:rPr>
                <w:noProof/>
                <w:lang w:eastAsia="en-NZ"/>
              </w:rPr>
            </w:pPr>
            <w:bookmarkStart w:id="4" w:name="_Hlk70601670"/>
            <w:r w:rsidRPr="00F424E5">
              <w:rPr>
                <w:noProof/>
                <w:lang w:eastAsia="en-NZ"/>
              </w:rPr>
              <w:t>Activity class</w:t>
            </w:r>
          </w:p>
        </w:tc>
        <w:tc>
          <w:tcPr>
            <w:tcW w:w="3198" w:type="dxa"/>
            <w:gridSpan w:val="2"/>
          </w:tcPr>
          <w:p w14:paraId="290946A7" w14:textId="001295C0" w:rsidR="00156BA2" w:rsidRDefault="00156BA2" w:rsidP="00C62AA6">
            <w:pPr>
              <w:jc w:val="center"/>
              <w:cnfStyle w:val="100000000000" w:firstRow="1" w:lastRow="0" w:firstColumn="0" w:lastColumn="0" w:oddVBand="0" w:evenVBand="0" w:oddHBand="0" w:evenHBand="0" w:firstRowFirstColumn="0" w:firstRowLastColumn="0" w:lastRowFirstColumn="0" w:lastRowLastColumn="0"/>
              <w:rPr>
                <w:noProof/>
                <w:lang w:eastAsia="en-NZ"/>
              </w:rPr>
            </w:pPr>
            <w:r>
              <w:rPr>
                <w:noProof/>
                <w:lang w:eastAsia="en-NZ"/>
              </w:rPr>
              <w:t>2018/19</w:t>
            </w:r>
          </w:p>
        </w:tc>
        <w:tc>
          <w:tcPr>
            <w:tcW w:w="3657" w:type="dxa"/>
            <w:gridSpan w:val="2"/>
          </w:tcPr>
          <w:p w14:paraId="70F82523" w14:textId="3891BC02" w:rsidR="00156BA2" w:rsidRPr="00F424E5" w:rsidRDefault="00156BA2" w:rsidP="00C62AA6">
            <w:pPr>
              <w:jc w:val="center"/>
              <w:cnfStyle w:val="100000000000" w:firstRow="1" w:lastRow="0" w:firstColumn="0" w:lastColumn="0" w:oddVBand="0" w:evenVBand="0" w:oddHBand="0" w:evenHBand="0" w:firstRowFirstColumn="0" w:firstRowLastColumn="0" w:lastRowFirstColumn="0" w:lastRowLastColumn="0"/>
              <w:rPr>
                <w:noProof/>
                <w:lang w:eastAsia="en-NZ"/>
              </w:rPr>
            </w:pPr>
            <w:r>
              <w:rPr>
                <w:noProof/>
                <w:lang w:eastAsia="en-NZ"/>
              </w:rPr>
              <w:t xml:space="preserve">2019/20 </w:t>
            </w:r>
          </w:p>
        </w:tc>
      </w:tr>
      <w:tr w:rsidR="00274E4D" w:rsidRPr="00F424E5" w14:paraId="1581DF09" w14:textId="77777777" w:rsidTr="00C62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vMerge/>
          </w:tcPr>
          <w:p w14:paraId="7882B92F" w14:textId="77777777" w:rsidR="00274E4D" w:rsidRPr="00F424E5" w:rsidRDefault="00274E4D" w:rsidP="00C62AA6">
            <w:pPr>
              <w:jc w:val="center"/>
              <w:rPr>
                <w:noProof/>
                <w:lang w:eastAsia="en-NZ"/>
              </w:rPr>
            </w:pPr>
          </w:p>
        </w:tc>
        <w:tc>
          <w:tcPr>
            <w:tcW w:w="1510" w:type="dxa"/>
          </w:tcPr>
          <w:p w14:paraId="4A07455F" w14:textId="23AD400C" w:rsidR="00274E4D" w:rsidRDefault="008029BB" w:rsidP="00C62AA6">
            <w:pPr>
              <w:jc w:val="center"/>
              <w:cnfStyle w:val="000000100000" w:firstRow="0" w:lastRow="0" w:firstColumn="0" w:lastColumn="0" w:oddVBand="0" w:evenVBand="0" w:oddHBand="1" w:evenHBand="0" w:firstRowFirstColumn="0" w:firstRowLastColumn="0" w:lastRowFirstColumn="0" w:lastRowLastColumn="0"/>
              <w:rPr>
                <w:noProof/>
                <w:lang w:eastAsia="en-NZ"/>
              </w:rPr>
            </w:pPr>
            <w:r>
              <w:rPr>
                <w:noProof/>
                <w:lang w:eastAsia="en-NZ"/>
              </w:rPr>
              <w:t>$ million</w:t>
            </w:r>
          </w:p>
        </w:tc>
        <w:tc>
          <w:tcPr>
            <w:tcW w:w="1688" w:type="dxa"/>
          </w:tcPr>
          <w:p w14:paraId="13FD2CC0" w14:textId="50455860" w:rsidR="00274E4D" w:rsidRDefault="00274E4D" w:rsidP="00C62AA6">
            <w:pPr>
              <w:jc w:val="center"/>
              <w:cnfStyle w:val="000000100000" w:firstRow="0" w:lastRow="0" w:firstColumn="0" w:lastColumn="0" w:oddVBand="0" w:evenVBand="0" w:oddHBand="1" w:evenHBand="0" w:firstRowFirstColumn="0" w:firstRowLastColumn="0" w:lastRowFirstColumn="0" w:lastRowLastColumn="0"/>
              <w:rPr>
                <w:noProof/>
                <w:lang w:eastAsia="en-NZ"/>
              </w:rPr>
            </w:pPr>
            <w:r>
              <w:rPr>
                <w:noProof/>
                <w:lang w:eastAsia="en-NZ"/>
              </w:rPr>
              <w:t>%</w:t>
            </w:r>
          </w:p>
        </w:tc>
        <w:tc>
          <w:tcPr>
            <w:tcW w:w="1514" w:type="dxa"/>
          </w:tcPr>
          <w:p w14:paraId="72AA700E" w14:textId="487ED21E" w:rsidR="00274E4D" w:rsidRPr="00F424E5" w:rsidRDefault="00274E4D" w:rsidP="00C62AA6">
            <w:pPr>
              <w:jc w:val="center"/>
              <w:cnfStyle w:val="000000100000" w:firstRow="0" w:lastRow="0" w:firstColumn="0" w:lastColumn="0" w:oddVBand="0" w:evenVBand="0" w:oddHBand="1" w:evenHBand="0" w:firstRowFirstColumn="0" w:firstRowLastColumn="0" w:lastRowFirstColumn="0" w:lastRowLastColumn="0"/>
              <w:rPr>
                <w:noProof/>
                <w:lang w:eastAsia="en-NZ"/>
              </w:rPr>
            </w:pPr>
            <w:r>
              <w:rPr>
                <w:noProof/>
                <w:lang w:eastAsia="en-NZ"/>
              </w:rPr>
              <w:t>$ million</w:t>
            </w:r>
          </w:p>
        </w:tc>
        <w:tc>
          <w:tcPr>
            <w:tcW w:w="2143" w:type="dxa"/>
          </w:tcPr>
          <w:p w14:paraId="0F99ACAB" w14:textId="5804C4FB" w:rsidR="00274E4D" w:rsidRPr="00F424E5" w:rsidRDefault="00274E4D" w:rsidP="00C62AA6">
            <w:pPr>
              <w:jc w:val="center"/>
              <w:cnfStyle w:val="000000100000" w:firstRow="0" w:lastRow="0" w:firstColumn="0" w:lastColumn="0" w:oddVBand="0" w:evenVBand="0" w:oddHBand="1" w:evenHBand="0" w:firstRowFirstColumn="0" w:firstRowLastColumn="0" w:lastRowFirstColumn="0" w:lastRowLastColumn="0"/>
              <w:rPr>
                <w:noProof/>
                <w:lang w:eastAsia="en-NZ"/>
              </w:rPr>
            </w:pPr>
            <w:r>
              <w:rPr>
                <w:noProof/>
                <w:lang w:eastAsia="en-NZ"/>
              </w:rPr>
              <w:t>%</w:t>
            </w:r>
          </w:p>
        </w:tc>
      </w:tr>
      <w:tr w:rsidR="00274E4D" w:rsidRPr="00F424E5" w14:paraId="13BB591E" w14:textId="77777777" w:rsidTr="00C62AA6">
        <w:tc>
          <w:tcPr>
            <w:cnfStyle w:val="001000000000" w:firstRow="0" w:lastRow="0" w:firstColumn="1" w:lastColumn="0" w:oddVBand="0" w:evenVBand="0" w:oddHBand="0" w:evenHBand="0" w:firstRowFirstColumn="0" w:firstRowLastColumn="0" w:lastRowFirstColumn="0" w:lastRowLastColumn="0"/>
            <w:tcW w:w="3601" w:type="dxa"/>
          </w:tcPr>
          <w:p w14:paraId="23CF22B7" w14:textId="77777777" w:rsidR="00274E4D" w:rsidRPr="00C62AA6" w:rsidRDefault="00274E4D" w:rsidP="00C62AA6">
            <w:pPr>
              <w:jc w:val="center"/>
              <w:rPr>
                <w:b w:val="0"/>
                <w:noProof/>
                <w:lang w:eastAsia="en-NZ"/>
              </w:rPr>
            </w:pPr>
            <w:r w:rsidRPr="00C62AA6">
              <w:rPr>
                <w:b w:val="0"/>
                <w:noProof/>
                <w:lang w:eastAsia="en-NZ"/>
              </w:rPr>
              <w:t>State highway improvements</w:t>
            </w:r>
          </w:p>
        </w:tc>
        <w:tc>
          <w:tcPr>
            <w:tcW w:w="1510" w:type="dxa"/>
          </w:tcPr>
          <w:p w14:paraId="49ECAB4E" w14:textId="1FF29CCC" w:rsidR="00274E4D" w:rsidRPr="00F424E5" w:rsidRDefault="00274E4D" w:rsidP="00C62AA6">
            <w:pPr>
              <w:jc w:val="center"/>
              <w:cnfStyle w:val="000000000000" w:firstRow="0" w:lastRow="0" w:firstColumn="0" w:lastColumn="0" w:oddVBand="0" w:evenVBand="0" w:oddHBand="0" w:evenHBand="0" w:firstRowFirstColumn="0" w:firstRowLastColumn="0" w:lastRowFirstColumn="0" w:lastRowLastColumn="0"/>
              <w:rPr>
                <w:noProof/>
                <w:lang w:eastAsia="en-NZ"/>
              </w:rPr>
            </w:pPr>
            <w:r>
              <w:rPr>
                <w:noProof/>
                <w:lang w:eastAsia="en-NZ"/>
              </w:rPr>
              <w:t>25</w:t>
            </w:r>
          </w:p>
        </w:tc>
        <w:tc>
          <w:tcPr>
            <w:tcW w:w="1688" w:type="dxa"/>
          </w:tcPr>
          <w:p w14:paraId="1709A51A" w14:textId="5A179588" w:rsidR="00274E4D" w:rsidRPr="00F424E5" w:rsidRDefault="00274E4D" w:rsidP="00C62AA6">
            <w:pPr>
              <w:jc w:val="center"/>
              <w:cnfStyle w:val="000000000000" w:firstRow="0" w:lastRow="0" w:firstColumn="0" w:lastColumn="0" w:oddVBand="0" w:evenVBand="0" w:oddHBand="0" w:evenHBand="0" w:firstRowFirstColumn="0" w:firstRowLastColumn="0" w:lastRowFirstColumn="0" w:lastRowLastColumn="0"/>
              <w:rPr>
                <w:noProof/>
                <w:lang w:eastAsia="en-NZ"/>
              </w:rPr>
            </w:pPr>
            <w:r>
              <w:rPr>
                <w:noProof/>
                <w:lang w:eastAsia="en-NZ"/>
              </w:rPr>
              <w:t>1.90</w:t>
            </w:r>
          </w:p>
        </w:tc>
        <w:tc>
          <w:tcPr>
            <w:tcW w:w="1514" w:type="dxa"/>
          </w:tcPr>
          <w:p w14:paraId="5C737E27" w14:textId="0049BDCF" w:rsidR="00274E4D" w:rsidRPr="00F424E5" w:rsidRDefault="00274E4D" w:rsidP="00C62AA6">
            <w:pPr>
              <w:jc w:val="center"/>
              <w:cnfStyle w:val="000000000000" w:firstRow="0" w:lastRow="0" w:firstColumn="0" w:lastColumn="0" w:oddVBand="0" w:evenVBand="0" w:oddHBand="0" w:evenHBand="0" w:firstRowFirstColumn="0" w:firstRowLastColumn="0" w:lastRowFirstColumn="0" w:lastRowLastColumn="0"/>
              <w:rPr>
                <w:noProof/>
                <w:lang w:eastAsia="en-NZ"/>
              </w:rPr>
            </w:pPr>
            <w:r w:rsidRPr="00F424E5">
              <w:rPr>
                <w:noProof/>
                <w:lang w:eastAsia="en-NZ"/>
              </w:rPr>
              <w:t>278</w:t>
            </w:r>
          </w:p>
        </w:tc>
        <w:tc>
          <w:tcPr>
            <w:tcW w:w="2143" w:type="dxa"/>
          </w:tcPr>
          <w:p w14:paraId="55BB766F" w14:textId="3CC7C769" w:rsidR="00274E4D" w:rsidRPr="00F424E5" w:rsidRDefault="00274E4D" w:rsidP="00C62AA6">
            <w:pPr>
              <w:jc w:val="center"/>
              <w:cnfStyle w:val="000000000000" w:firstRow="0" w:lastRow="0" w:firstColumn="0" w:lastColumn="0" w:oddVBand="0" w:evenVBand="0" w:oddHBand="0" w:evenHBand="0" w:firstRowFirstColumn="0" w:firstRowLastColumn="0" w:lastRowFirstColumn="0" w:lastRowLastColumn="0"/>
              <w:rPr>
                <w:noProof/>
                <w:lang w:eastAsia="en-NZ"/>
              </w:rPr>
            </w:pPr>
            <w:r w:rsidRPr="00F424E5">
              <w:rPr>
                <w:noProof/>
                <w:lang w:eastAsia="en-NZ"/>
              </w:rPr>
              <w:t>18.5</w:t>
            </w:r>
            <w:r>
              <w:rPr>
                <w:noProof/>
                <w:lang w:eastAsia="en-NZ"/>
              </w:rPr>
              <w:t>0</w:t>
            </w:r>
          </w:p>
        </w:tc>
      </w:tr>
      <w:tr w:rsidR="00274E4D" w:rsidRPr="00F424E5" w14:paraId="0B0409D3" w14:textId="77777777" w:rsidTr="00C62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tcPr>
          <w:p w14:paraId="155690BE" w14:textId="77777777" w:rsidR="00274E4D" w:rsidRPr="00C62AA6" w:rsidRDefault="00274E4D" w:rsidP="00C62AA6">
            <w:pPr>
              <w:jc w:val="center"/>
              <w:rPr>
                <w:b w:val="0"/>
                <w:noProof/>
                <w:lang w:eastAsia="en-NZ"/>
              </w:rPr>
            </w:pPr>
            <w:r w:rsidRPr="00C62AA6">
              <w:rPr>
                <w:b w:val="0"/>
                <w:noProof/>
                <w:lang w:eastAsia="en-NZ"/>
              </w:rPr>
              <w:t>State highway maintenance</w:t>
            </w:r>
          </w:p>
        </w:tc>
        <w:tc>
          <w:tcPr>
            <w:tcW w:w="1510" w:type="dxa"/>
          </w:tcPr>
          <w:p w14:paraId="72542BF7" w14:textId="5AB7B3C7" w:rsidR="00274E4D" w:rsidRPr="00F424E5" w:rsidRDefault="00274E4D" w:rsidP="00C62AA6">
            <w:pPr>
              <w:jc w:val="center"/>
              <w:cnfStyle w:val="000000100000" w:firstRow="0" w:lastRow="0" w:firstColumn="0" w:lastColumn="0" w:oddVBand="0" w:evenVBand="0" w:oddHBand="1" w:evenHBand="0" w:firstRowFirstColumn="0" w:firstRowLastColumn="0" w:lastRowFirstColumn="0" w:lastRowLastColumn="0"/>
              <w:rPr>
                <w:noProof/>
                <w:lang w:eastAsia="en-NZ"/>
              </w:rPr>
            </w:pPr>
            <w:r>
              <w:rPr>
                <w:noProof/>
                <w:lang w:eastAsia="en-NZ"/>
              </w:rPr>
              <w:t>168</w:t>
            </w:r>
          </w:p>
        </w:tc>
        <w:tc>
          <w:tcPr>
            <w:tcW w:w="1688" w:type="dxa"/>
          </w:tcPr>
          <w:p w14:paraId="36C37910" w14:textId="695A4524" w:rsidR="00274E4D" w:rsidRPr="00F424E5" w:rsidRDefault="00274E4D" w:rsidP="00C62AA6">
            <w:pPr>
              <w:jc w:val="center"/>
              <w:cnfStyle w:val="000000100000" w:firstRow="0" w:lastRow="0" w:firstColumn="0" w:lastColumn="0" w:oddVBand="0" w:evenVBand="0" w:oddHBand="1" w:evenHBand="0" w:firstRowFirstColumn="0" w:firstRowLastColumn="0" w:lastRowFirstColumn="0" w:lastRowLastColumn="0"/>
              <w:rPr>
                <w:noProof/>
                <w:lang w:eastAsia="en-NZ"/>
              </w:rPr>
            </w:pPr>
            <w:r>
              <w:rPr>
                <w:noProof/>
                <w:lang w:eastAsia="en-NZ"/>
              </w:rPr>
              <w:t>12.50</w:t>
            </w:r>
          </w:p>
        </w:tc>
        <w:tc>
          <w:tcPr>
            <w:tcW w:w="1514" w:type="dxa"/>
          </w:tcPr>
          <w:p w14:paraId="34FB8F62" w14:textId="767E02BD" w:rsidR="00274E4D" w:rsidRPr="00F424E5" w:rsidRDefault="00274E4D" w:rsidP="00C62AA6">
            <w:pPr>
              <w:jc w:val="center"/>
              <w:cnfStyle w:val="000000100000" w:firstRow="0" w:lastRow="0" w:firstColumn="0" w:lastColumn="0" w:oddVBand="0" w:evenVBand="0" w:oddHBand="1" w:evenHBand="0" w:firstRowFirstColumn="0" w:firstRowLastColumn="0" w:lastRowFirstColumn="0" w:lastRowLastColumn="0"/>
              <w:rPr>
                <w:noProof/>
                <w:lang w:eastAsia="en-NZ"/>
              </w:rPr>
            </w:pPr>
            <w:r>
              <w:rPr>
                <w:noProof/>
                <w:lang w:eastAsia="en-NZ"/>
              </w:rPr>
              <w:t>2</w:t>
            </w:r>
            <w:r w:rsidRPr="00F424E5">
              <w:rPr>
                <w:noProof/>
                <w:lang w:eastAsia="en-NZ"/>
              </w:rPr>
              <w:t>13</w:t>
            </w:r>
          </w:p>
        </w:tc>
        <w:tc>
          <w:tcPr>
            <w:tcW w:w="2143" w:type="dxa"/>
          </w:tcPr>
          <w:p w14:paraId="31B86B95" w14:textId="611D24DE" w:rsidR="00274E4D" w:rsidRPr="00F424E5" w:rsidRDefault="00274E4D" w:rsidP="00C62AA6">
            <w:pPr>
              <w:jc w:val="center"/>
              <w:cnfStyle w:val="000000100000" w:firstRow="0" w:lastRow="0" w:firstColumn="0" w:lastColumn="0" w:oddVBand="0" w:evenVBand="0" w:oddHBand="1" w:evenHBand="0" w:firstRowFirstColumn="0" w:firstRowLastColumn="0" w:lastRowFirstColumn="0" w:lastRowLastColumn="0"/>
              <w:rPr>
                <w:noProof/>
                <w:lang w:eastAsia="en-NZ"/>
              </w:rPr>
            </w:pPr>
            <w:r w:rsidRPr="00F424E5">
              <w:rPr>
                <w:noProof/>
                <w:lang w:eastAsia="en-NZ"/>
              </w:rPr>
              <w:t>14.2</w:t>
            </w:r>
            <w:r>
              <w:rPr>
                <w:noProof/>
                <w:lang w:eastAsia="en-NZ"/>
              </w:rPr>
              <w:t>0</w:t>
            </w:r>
          </w:p>
        </w:tc>
      </w:tr>
      <w:tr w:rsidR="00274E4D" w:rsidRPr="00F424E5" w14:paraId="047757AC" w14:textId="77777777" w:rsidTr="00C62AA6">
        <w:tc>
          <w:tcPr>
            <w:cnfStyle w:val="001000000000" w:firstRow="0" w:lastRow="0" w:firstColumn="1" w:lastColumn="0" w:oddVBand="0" w:evenVBand="0" w:oddHBand="0" w:evenHBand="0" w:firstRowFirstColumn="0" w:firstRowLastColumn="0" w:lastRowFirstColumn="0" w:lastRowLastColumn="0"/>
            <w:tcW w:w="3601" w:type="dxa"/>
          </w:tcPr>
          <w:p w14:paraId="34F99D33" w14:textId="77777777" w:rsidR="00274E4D" w:rsidRPr="00C62AA6" w:rsidRDefault="00274E4D" w:rsidP="00C62AA6">
            <w:pPr>
              <w:jc w:val="center"/>
              <w:rPr>
                <w:b w:val="0"/>
                <w:noProof/>
                <w:lang w:eastAsia="en-NZ"/>
              </w:rPr>
            </w:pPr>
            <w:r w:rsidRPr="00C62AA6">
              <w:rPr>
                <w:b w:val="0"/>
                <w:noProof/>
                <w:lang w:eastAsia="en-NZ"/>
              </w:rPr>
              <w:t>Local road improvements</w:t>
            </w:r>
          </w:p>
        </w:tc>
        <w:tc>
          <w:tcPr>
            <w:tcW w:w="1510" w:type="dxa"/>
          </w:tcPr>
          <w:p w14:paraId="62949FBF" w14:textId="7515740C" w:rsidR="00274E4D" w:rsidRPr="00F424E5" w:rsidRDefault="00274E4D" w:rsidP="00C62AA6">
            <w:pPr>
              <w:jc w:val="center"/>
              <w:cnfStyle w:val="000000000000" w:firstRow="0" w:lastRow="0" w:firstColumn="0" w:lastColumn="0" w:oddVBand="0" w:evenVBand="0" w:oddHBand="0" w:evenHBand="0" w:firstRowFirstColumn="0" w:firstRowLastColumn="0" w:lastRowFirstColumn="0" w:lastRowLastColumn="0"/>
              <w:rPr>
                <w:noProof/>
                <w:lang w:eastAsia="en-NZ"/>
              </w:rPr>
            </w:pPr>
            <w:r>
              <w:rPr>
                <w:noProof/>
                <w:lang w:eastAsia="en-NZ"/>
              </w:rPr>
              <w:t>105</w:t>
            </w:r>
          </w:p>
        </w:tc>
        <w:tc>
          <w:tcPr>
            <w:tcW w:w="1688" w:type="dxa"/>
          </w:tcPr>
          <w:p w14:paraId="490405E9" w14:textId="04DE2A9B" w:rsidR="00274E4D" w:rsidRPr="00F424E5" w:rsidRDefault="00274E4D" w:rsidP="00C62AA6">
            <w:pPr>
              <w:jc w:val="center"/>
              <w:cnfStyle w:val="000000000000" w:firstRow="0" w:lastRow="0" w:firstColumn="0" w:lastColumn="0" w:oddVBand="0" w:evenVBand="0" w:oddHBand="0" w:evenHBand="0" w:firstRowFirstColumn="0" w:firstRowLastColumn="0" w:lastRowFirstColumn="0" w:lastRowLastColumn="0"/>
              <w:rPr>
                <w:noProof/>
                <w:lang w:eastAsia="en-NZ"/>
              </w:rPr>
            </w:pPr>
            <w:r>
              <w:rPr>
                <w:noProof/>
                <w:lang w:eastAsia="en-NZ"/>
              </w:rPr>
              <w:t>7.80</w:t>
            </w:r>
          </w:p>
        </w:tc>
        <w:tc>
          <w:tcPr>
            <w:tcW w:w="1514" w:type="dxa"/>
          </w:tcPr>
          <w:p w14:paraId="6710742F" w14:textId="5B3BFAE1" w:rsidR="00274E4D" w:rsidRPr="00F424E5" w:rsidRDefault="00274E4D" w:rsidP="00C62AA6">
            <w:pPr>
              <w:jc w:val="center"/>
              <w:cnfStyle w:val="000000000000" w:firstRow="0" w:lastRow="0" w:firstColumn="0" w:lastColumn="0" w:oddVBand="0" w:evenVBand="0" w:oddHBand="0" w:evenHBand="0" w:firstRowFirstColumn="0" w:firstRowLastColumn="0" w:lastRowFirstColumn="0" w:lastRowLastColumn="0"/>
              <w:rPr>
                <w:noProof/>
                <w:lang w:eastAsia="en-NZ"/>
              </w:rPr>
            </w:pPr>
            <w:r w:rsidRPr="00F424E5">
              <w:rPr>
                <w:noProof/>
                <w:lang w:eastAsia="en-NZ"/>
              </w:rPr>
              <w:t>131</w:t>
            </w:r>
          </w:p>
        </w:tc>
        <w:tc>
          <w:tcPr>
            <w:tcW w:w="2143" w:type="dxa"/>
          </w:tcPr>
          <w:p w14:paraId="7D4613ED" w14:textId="72B597FC" w:rsidR="00274E4D" w:rsidRPr="00F424E5" w:rsidRDefault="00274E4D" w:rsidP="00C62AA6">
            <w:pPr>
              <w:jc w:val="center"/>
              <w:cnfStyle w:val="000000000000" w:firstRow="0" w:lastRow="0" w:firstColumn="0" w:lastColumn="0" w:oddVBand="0" w:evenVBand="0" w:oddHBand="0" w:evenHBand="0" w:firstRowFirstColumn="0" w:firstRowLastColumn="0" w:lastRowFirstColumn="0" w:lastRowLastColumn="0"/>
              <w:rPr>
                <w:noProof/>
                <w:lang w:eastAsia="en-NZ"/>
              </w:rPr>
            </w:pPr>
            <w:r w:rsidRPr="00F424E5">
              <w:rPr>
                <w:noProof/>
                <w:lang w:eastAsia="en-NZ"/>
              </w:rPr>
              <w:t>8.7</w:t>
            </w:r>
            <w:r>
              <w:rPr>
                <w:noProof/>
                <w:lang w:eastAsia="en-NZ"/>
              </w:rPr>
              <w:t>0</w:t>
            </w:r>
          </w:p>
        </w:tc>
      </w:tr>
      <w:tr w:rsidR="00274E4D" w:rsidRPr="00F424E5" w14:paraId="54CEC916" w14:textId="77777777" w:rsidTr="00C62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tcPr>
          <w:p w14:paraId="716B1C9A" w14:textId="77777777" w:rsidR="00274E4D" w:rsidRPr="00C62AA6" w:rsidRDefault="00274E4D" w:rsidP="00C62AA6">
            <w:pPr>
              <w:jc w:val="center"/>
              <w:rPr>
                <w:b w:val="0"/>
                <w:noProof/>
                <w:lang w:eastAsia="en-NZ"/>
              </w:rPr>
            </w:pPr>
            <w:r w:rsidRPr="00C62AA6">
              <w:rPr>
                <w:b w:val="0"/>
                <w:noProof/>
                <w:lang w:eastAsia="en-NZ"/>
              </w:rPr>
              <w:t>Local road maintenance</w:t>
            </w:r>
          </w:p>
        </w:tc>
        <w:tc>
          <w:tcPr>
            <w:tcW w:w="1510" w:type="dxa"/>
          </w:tcPr>
          <w:p w14:paraId="646C5501" w14:textId="0D33CDFA" w:rsidR="00274E4D" w:rsidRPr="00F424E5" w:rsidRDefault="00274E4D" w:rsidP="00C62AA6">
            <w:pPr>
              <w:jc w:val="center"/>
              <w:cnfStyle w:val="000000100000" w:firstRow="0" w:lastRow="0" w:firstColumn="0" w:lastColumn="0" w:oddVBand="0" w:evenVBand="0" w:oddHBand="1" w:evenHBand="0" w:firstRowFirstColumn="0" w:firstRowLastColumn="0" w:lastRowFirstColumn="0" w:lastRowLastColumn="0"/>
              <w:rPr>
                <w:noProof/>
                <w:lang w:eastAsia="en-NZ"/>
              </w:rPr>
            </w:pPr>
            <w:r>
              <w:rPr>
                <w:noProof/>
                <w:lang w:eastAsia="en-NZ"/>
              </w:rPr>
              <w:t>257</w:t>
            </w:r>
          </w:p>
        </w:tc>
        <w:tc>
          <w:tcPr>
            <w:tcW w:w="1688" w:type="dxa"/>
          </w:tcPr>
          <w:p w14:paraId="190E8BDC" w14:textId="786DFBFA" w:rsidR="00274E4D" w:rsidRPr="00F424E5" w:rsidRDefault="00274E4D" w:rsidP="00C62AA6">
            <w:pPr>
              <w:jc w:val="center"/>
              <w:cnfStyle w:val="000000100000" w:firstRow="0" w:lastRow="0" w:firstColumn="0" w:lastColumn="0" w:oddVBand="0" w:evenVBand="0" w:oddHBand="1" w:evenHBand="0" w:firstRowFirstColumn="0" w:firstRowLastColumn="0" w:lastRowFirstColumn="0" w:lastRowLastColumn="0"/>
              <w:rPr>
                <w:noProof/>
                <w:lang w:eastAsia="en-NZ"/>
              </w:rPr>
            </w:pPr>
            <w:r>
              <w:rPr>
                <w:noProof/>
                <w:lang w:eastAsia="en-NZ"/>
              </w:rPr>
              <w:t>19.10</w:t>
            </w:r>
          </w:p>
        </w:tc>
        <w:tc>
          <w:tcPr>
            <w:tcW w:w="1514" w:type="dxa"/>
          </w:tcPr>
          <w:p w14:paraId="353525D9" w14:textId="27146B12" w:rsidR="00274E4D" w:rsidRPr="00F424E5" w:rsidRDefault="00274E4D" w:rsidP="00C62AA6">
            <w:pPr>
              <w:jc w:val="center"/>
              <w:cnfStyle w:val="000000100000" w:firstRow="0" w:lastRow="0" w:firstColumn="0" w:lastColumn="0" w:oddVBand="0" w:evenVBand="0" w:oddHBand="1" w:evenHBand="0" w:firstRowFirstColumn="0" w:firstRowLastColumn="0" w:lastRowFirstColumn="0" w:lastRowLastColumn="0"/>
              <w:rPr>
                <w:noProof/>
                <w:lang w:eastAsia="en-NZ"/>
              </w:rPr>
            </w:pPr>
            <w:r w:rsidRPr="00F424E5">
              <w:rPr>
                <w:noProof/>
                <w:lang w:eastAsia="en-NZ"/>
              </w:rPr>
              <w:t>293</w:t>
            </w:r>
          </w:p>
        </w:tc>
        <w:tc>
          <w:tcPr>
            <w:tcW w:w="2143" w:type="dxa"/>
          </w:tcPr>
          <w:p w14:paraId="52F9D0DE" w14:textId="4E1CAEC6" w:rsidR="00274E4D" w:rsidRPr="00F424E5" w:rsidRDefault="00274E4D" w:rsidP="00C62AA6">
            <w:pPr>
              <w:jc w:val="center"/>
              <w:cnfStyle w:val="000000100000" w:firstRow="0" w:lastRow="0" w:firstColumn="0" w:lastColumn="0" w:oddVBand="0" w:evenVBand="0" w:oddHBand="1" w:evenHBand="0" w:firstRowFirstColumn="0" w:firstRowLastColumn="0" w:lastRowFirstColumn="0" w:lastRowLastColumn="0"/>
              <w:rPr>
                <w:noProof/>
                <w:lang w:eastAsia="en-NZ"/>
              </w:rPr>
            </w:pPr>
            <w:r w:rsidRPr="00F424E5">
              <w:rPr>
                <w:noProof/>
                <w:lang w:eastAsia="en-NZ"/>
              </w:rPr>
              <w:t>19.5</w:t>
            </w:r>
            <w:r>
              <w:rPr>
                <w:noProof/>
                <w:lang w:eastAsia="en-NZ"/>
              </w:rPr>
              <w:t>0</w:t>
            </w:r>
          </w:p>
        </w:tc>
      </w:tr>
      <w:tr w:rsidR="00274E4D" w:rsidRPr="00F424E5" w14:paraId="7C6FB5BD" w14:textId="77777777" w:rsidTr="00C62AA6">
        <w:tc>
          <w:tcPr>
            <w:cnfStyle w:val="001000000000" w:firstRow="0" w:lastRow="0" w:firstColumn="1" w:lastColumn="0" w:oddVBand="0" w:evenVBand="0" w:oddHBand="0" w:evenHBand="0" w:firstRowFirstColumn="0" w:firstRowLastColumn="0" w:lastRowFirstColumn="0" w:lastRowLastColumn="0"/>
            <w:tcW w:w="3601" w:type="dxa"/>
          </w:tcPr>
          <w:p w14:paraId="1C05352D" w14:textId="77777777" w:rsidR="00274E4D" w:rsidRPr="00C62AA6" w:rsidRDefault="00274E4D" w:rsidP="00C62AA6">
            <w:pPr>
              <w:jc w:val="center"/>
              <w:rPr>
                <w:b w:val="0"/>
                <w:noProof/>
                <w:lang w:eastAsia="en-NZ"/>
              </w:rPr>
            </w:pPr>
            <w:r w:rsidRPr="00C62AA6">
              <w:rPr>
                <w:b w:val="0"/>
                <w:noProof/>
                <w:lang w:eastAsia="en-NZ"/>
              </w:rPr>
              <w:t>Road safety promotion and demand management</w:t>
            </w:r>
          </w:p>
        </w:tc>
        <w:tc>
          <w:tcPr>
            <w:tcW w:w="1510" w:type="dxa"/>
          </w:tcPr>
          <w:p w14:paraId="1F23F0F5" w14:textId="7F3059A8" w:rsidR="00274E4D" w:rsidRPr="00F424E5" w:rsidRDefault="00274E4D" w:rsidP="00C62AA6">
            <w:pPr>
              <w:jc w:val="center"/>
              <w:cnfStyle w:val="000000000000" w:firstRow="0" w:lastRow="0" w:firstColumn="0" w:lastColumn="0" w:oddVBand="0" w:evenVBand="0" w:oddHBand="0" w:evenHBand="0" w:firstRowFirstColumn="0" w:firstRowLastColumn="0" w:lastRowFirstColumn="0" w:lastRowLastColumn="0"/>
              <w:rPr>
                <w:noProof/>
                <w:lang w:eastAsia="en-NZ"/>
              </w:rPr>
            </w:pPr>
            <w:r>
              <w:rPr>
                <w:noProof/>
                <w:lang w:eastAsia="en-NZ"/>
              </w:rPr>
              <w:t>43</w:t>
            </w:r>
          </w:p>
        </w:tc>
        <w:tc>
          <w:tcPr>
            <w:tcW w:w="1688" w:type="dxa"/>
          </w:tcPr>
          <w:p w14:paraId="62920088" w14:textId="2E20B5A3" w:rsidR="00274E4D" w:rsidRPr="00F424E5" w:rsidRDefault="00274E4D" w:rsidP="00C62AA6">
            <w:pPr>
              <w:jc w:val="center"/>
              <w:cnfStyle w:val="000000000000" w:firstRow="0" w:lastRow="0" w:firstColumn="0" w:lastColumn="0" w:oddVBand="0" w:evenVBand="0" w:oddHBand="0" w:evenHBand="0" w:firstRowFirstColumn="0" w:firstRowLastColumn="0" w:lastRowFirstColumn="0" w:lastRowLastColumn="0"/>
              <w:rPr>
                <w:noProof/>
                <w:lang w:eastAsia="en-NZ"/>
              </w:rPr>
            </w:pPr>
            <w:r>
              <w:rPr>
                <w:noProof/>
                <w:lang w:eastAsia="en-NZ"/>
              </w:rPr>
              <w:t>3.20</w:t>
            </w:r>
          </w:p>
        </w:tc>
        <w:tc>
          <w:tcPr>
            <w:tcW w:w="1514" w:type="dxa"/>
          </w:tcPr>
          <w:p w14:paraId="0ED5AD35" w14:textId="555C6981" w:rsidR="00274E4D" w:rsidRPr="00F424E5" w:rsidRDefault="00274E4D" w:rsidP="00C62AA6">
            <w:pPr>
              <w:jc w:val="center"/>
              <w:cnfStyle w:val="000000000000" w:firstRow="0" w:lastRow="0" w:firstColumn="0" w:lastColumn="0" w:oddVBand="0" w:evenVBand="0" w:oddHBand="0" w:evenHBand="0" w:firstRowFirstColumn="0" w:firstRowLastColumn="0" w:lastRowFirstColumn="0" w:lastRowLastColumn="0"/>
              <w:rPr>
                <w:noProof/>
                <w:lang w:eastAsia="en-NZ"/>
              </w:rPr>
            </w:pPr>
            <w:r w:rsidRPr="00F424E5">
              <w:rPr>
                <w:noProof/>
                <w:lang w:eastAsia="en-NZ"/>
              </w:rPr>
              <w:t>47</w:t>
            </w:r>
          </w:p>
        </w:tc>
        <w:tc>
          <w:tcPr>
            <w:tcW w:w="2143" w:type="dxa"/>
          </w:tcPr>
          <w:p w14:paraId="36628406" w14:textId="1A417E2B" w:rsidR="00274E4D" w:rsidRPr="00F424E5" w:rsidRDefault="00274E4D" w:rsidP="00C62AA6">
            <w:pPr>
              <w:jc w:val="center"/>
              <w:cnfStyle w:val="000000000000" w:firstRow="0" w:lastRow="0" w:firstColumn="0" w:lastColumn="0" w:oddVBand="0" w:evenVBand="0" w:oddHBand="0" w:evenHBand="0" w:firstRowFirstColumn="0" w:firstRowLastColumn="0" w:lastRowFirstColumn="0" w:lastRowLastColumn="0"/>
              <w:rPr>
                <w:noProof/>
                <w:lang w:eastAsia="en-NZ"/>
              </w:rPr>
            </w:pPr>
            <w:r w:rsidRPr="00F424E5">
              <w:rPr>
                <w:noProof/>
                <w:lang w:eastAsia="en-NZ"/>
              </w:rPr>
              <w:t>3.1</w:t>
            </w:r>
            <w:r>
              <w:rPr>
                <w:noProof/>
                <w:lang w:eastAsia="en-NZ"/>
              </w:rPr>
              <w:t>0</w:t>
            </w:r>
          </w:p>
        </w:tc>
      </w:tr>
      <w:tr w:rsidR="00274E4D" w:rsidRPr="00F424E5" w14:paraId="2ACE0D29" w14:textId="77777777" w:rsidTr="00C62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tcPr>
          <w:p w14:paraId="649C1283" w14:textId="77777777" w:rsidR="00274E4D" w:rsidRPr="00C62AA6" w:rsidRDefault="00274E4D" w:rsidP="00C62AA6">
            <w:pPr>
              <w:jc w:val="center"/>
              <w:rPr>
                <w:b w:val="0"/>
                <w:noProof/>
                <w:lang w:eastAsia="en-NZ"/>
              </w:rPr>
            </w:pPr>
            <w:r w:rsidRPr="00C62AA6">
              <w:rPr>
                <w:b w:val="0"/>
                <w:noProof/>
                <w:lang w:eastAsia="en-NZ"/>
              </w:rPr>
              <w:t>Road policing</w:t>
            </w:r>
          </w:p>
        </w:tc>
        <w:tc>
          <w:tcPr>
            <w:tcW w:w="1510" w:type="dxa"/>
          </w:tcPr>
          <w:p w14:paraId="5EB1A148" w14:textId="66CA38D3" w:rsidR="00274E4D" w:rsidRPr="00F424E5" w:rsidRDefault="00274E4D" w:rsidP="00C62AA6">
            <w:pPr>
              <w:jc w:val="center"/>
              <w:cnfStyle w:val="000000100000" w:firstRow="0" w:lastRow="0" w:firstColumn="0" w:lastColumn="0" w:oddVBand="0" w:evenVBand="0" w:oddHBand="1" w:evenHBand="0" w:firstRowFirstColumn="0" w:firstRowLastColumn="0" w:lastRowFirstColumn="0" w:lastRowLastColumn="0"/>
              <w:rPr>
                <w:noProof/>
                <w:lang w:eastAsia="en-NZ"/>
              </w:rPr>
            </w:pPr>
            <w:r>
              <w:rPr>
                <w:noProof/>
                <w:lang w:eastAsia="en-NZ"/>
              </w:rPr>
              <w:t>339</w:t>
            </w:r>
          </w:p>
        </w:tc>
        <w:tc>
          <w:tcPr>
            <w:tcW w:w="1688" w:type="dxa"/>
          </w:tcPr>
          <w:p w14:paraId="16D40BCC" w14:textId="1AB6E51A" w:rsidR="00274E4D" w:rsidRPr="00F424E5" w:rsidRDefault="00274E4D" w:rsidP="00C62AA6">
            <w:pPr>
              <w:jc w:val="center"/>
              <w:cnfStyle w:val="000000100000" w:firstRow="0" w:lastRow="0" w:firstColumn="0" w:lastColumn="0" w:oddVBand="0" w:evenVBand="0" w:oddHBand="1" w:evenHBand="0" w:firstRowFirstColumn="0" w:firstRowLastColumn="0" w:lastRowFirstColumn="0" w:lastRowLastColumn="0"/>
              <w:rPr>
                <w:noProof/>
                <w:lang w:eastAsia="en-NZ"/>
              </w:rPr>
            </w:pPr>
            <w:r>
              <w:rPr>
                <w:noProof/>
                <w:lang w:eastAsia="en-NZ"/>
              </w:rPr>
              <w:t>25.20</w:t>
            </w:r>
          </w:p>
        </w:tc>
        <w:tc>
          <w:tcPr>
            <w:tcW w:w="1514" w:type="dxa"/>
          </w:tcPr>
          <w:p w14:paraId="527F195C" w14:textId="55485D24" w:rsidR="00274E4D" w:rsidRPr="00F424E5" w:rsidRDefault="00274E4D" w:rsidP="00C62AA6">
            <w:pPr>
              <w:jc w:val="center"/>
              <w:cnfStyle w:val="000000100000" w:firstRow="0" w:lastRow="0" w:firstColumn="0" w:lastColumn="0" w:oddVBand="0" w:evenVBand="0" w:oddHBand="1" w:evenHBand="0" w:firstRowFirstColumn="0" w:firstRowLastColumn="0" w:lastRowFirstColumn="0" w:lastRowLastColumn="0"/>
              <w:rPr>
                <w:noProof/>
                <w:lang w:eastAsia="en-NZ"/>
              </w:rPr>
            </w:pPr>
            <w:r w:rsidRPr="00F424E5">
              <w:rPr>
                <w:noProof/>
                <w:lang w:eastAsia="en-NZ"/>
              </w:rPr>
              <w:t>363</w:t>
            </w:r>
          </w:p>
        </w:tc>
        <w:tc>
          <w:tcPr>
            <w:tcW w:w="2143" w:type="dxa"/>
          </w:tcPr>
          <w:p w14:paraId="70FCBC3B" w14:textId="4128D8F0" w:rsidR="00274E4D" w:rsidRPr="00F424E5" w:rsidRDefault="00274E4D" w:rsidP="00C62AA6">
            <w:pPr>
              <w:jc w:val="center"/>
              <w:cnfStyle w:val="000000100000" w:firstRow="0" w:lastRow="0" w:firstColumn="0" w:lastColumn="0" w:oddVBand="0" w:evenVBand="0" w:oddHBand="1" w:evenHBand="0" w:firstRowFirstColumn="0" w:firstRowLastColumn="0" w:lastRowFirstColumn="0" w:lastRowLastColumn="0"/>
              <w:rPr>
                <w:noProof/>
                <w:lang w:eastAsia="en-NZ"/>
              </w:rPr>
            </w:pPr>
            <w:r w:rsidRPr="00F424E5">
              <w:rPr>
                <w:noProof/>
                <w:lang w:eastAsia="en-NZ"/>
              </w:rPr>
              <w:t>24.1</w:t>
            </w:r>
            <w:r>
              <w:rPr>
                <w:noProof/>
                <w:lang w:eastAsia="en-NZ"/>
              </w:rPr>
              <w:t>0</w:t>
            </w:r>
          </w:p>
        </w:tc>
      </w:tr>
      <w:tr w:rsidR="00274E4D" w:rsidRPr="00F424E5" w14:paraId="4FA5E947" w14:textId="77777777" w:rsidTr="00C62AA6">
        <w:tc>
          <w:tcPr>
            <w:cnfStyle w:val="001000000000" w:firstRow="0" w:lastRow="0" w:firstColumn="1" w:lastColumn="0" w:oddVBand="0" w:evenVBand="0" w:oddHBand="0" w:evenHBand="0" w:firstRowFirstColumn="0" w:firstRowLastColumn="0" w:lastRowFirstColumn="0" w:lastRowLastColumn="0"/>
            <w:tcW w:w="3601" w:type="dxa"/>
          </w:tcPr>
          <w:p w14:paraId="3DDB9CC3" w14:textId="77777777" w:rsidR="00274E4D" w:rsidRPr="00C62AA6" w:rsidRDefault="00274E4D" w:rsidP="00C62AA6">
            <w:pPr>
              <w:jc w:val="center"/>
              <w:rPr>
                <w:b w:val="0"/>
                <w:noProof/>
                <w:lang w:eastAsia="en-NZ"/>
              </w:rPr>
            </w:pPr>
            <w:r w:rsidRPr="00C62AA6">
              <w:rPr>
                <w:b w:val="0"/>
                <w:noProof/>
                <w:lang w:eastAsia="en-NZ"/>
              </w:rPr>
              <w:t>Regional improvements</w:t>
            </w:r>
          </w:p>
        </w:tc>
        <w:tc>
          <w:tcPr>
            <w:tcW w:w="1510" w:type="dxa"/>
          </w:tcPr>
          <w:p w14:paraId="15F5B2C5" w14:textId="5E548B00" w:rsidR="00274E4D" w:rsidRPr="00F424E5" w:rsidRDefault="00274E4D" w:rsidP="00C62AA6">
            <w:pPr>
              <w:jc w:val="center"/>
              <w:cnfStyle w:val="000000000000" w:firstRow="0" w:lastRow="0" w:firstColumn="0" w:lastColumn="0" w:oddVBand="0" w:evenVBand="0" w:oddHBand="0" w:evenHBand="0" w:firstRowFirstColumn="0" w:firstRowLastColumn="0" w:lastRowFirstColumn="0" w:lastRowLastColumn="0"/>
              <w:rPr>
                <w:noProof/>
                <w:lang w:eastAsia="en-NZ"/>
              </w:rPr>
            </w:pPr>
            <w:r>
              <w:rPr>
                <w:noProof/>
                <w:lang w:eastAsia="en-NZ"/>
              </w:rPr>
              <w:t>69</w:t>
            </w:r>
          </w:p>
        </w:tc>
        <w:tc>
          <w:tcPr>
            <w:tcW w:w="1688" w:type="dxa"/>
          </w:tcPr>
          <w:p w14:paraId="1747170B" w14:textId="7E15345C" w:rsidR="00274E4D" w:rsidRPr="00F424E5" w:rsidRDefault="00274E4D" w:rsidP="00C62AA6">
            <w:pPr>
              <w:jc w:val="center"/>
              <w:cnfStyle w:val="000000000000" w:firstRow="0" w:lastRow="0" w:firstColumn="0" w:lastColumn="0" w:oddVBand="0" w:evenVBand="0" w:oddHBand="0" w:evenHBand="0" w:firstRowFirstColumn="0" w:firstRowLastColumn="0" w:lastRowFirstColumn="0" w:lastRowLastColumn="0"/>
              <w:rPr>
                <w:noProof/>
                <w:lang w:eastAsia="en-NZ"/>
              </w:rPr>
            </w:pPr>
            <w:r>
              <w:rPr>
                <w:noProof/>
                <w:lang w:eastAsia="en-NZ"/>
              </w:rPr>
              <w:t>5.10</w:t>
            </w:r>
          </w:p>
        </w:tc>
        <w:tc>
          <w:tcPr>
            <w:tcW w:w="1514" w:type="dxa"/>
          </w:tcPr>
          <w:p w14:paraId="2D19A787" w14:textId="542A21C4" w:rsidR="00274E4D" w:rsidRPr="00F424E5" w:rsidRDefault="00274E4D" w:rsidP="00C62AA6">
            <w:pPr>
              <w:jc w:val="center"/>
              <w:cnfStyle w:val="000000000000" w:firstRow="0" w:lastRow="0" w:firstColumn="0" w:lastColumn="0" w:oddVBand="0" w:evenVBand="0" w:oddHBand="0" w:evenHBand="0" w:firstRowFirstColumn="0" w:firstRowLastColumn="0" w:lastRowFirstColumn="0" w:lastRowLastColumn="0"/>
              <w:rPr>
                <w:noProof/>
                <w:lang w:eastAsia="en-NZ"/>
              </w:rPr>
            </w:pPr>
            <w:r w:rsidRPr="00F424E5">
              <w:rPr>
                <w:noProof/>
                <w:lang w:eastAsia="en-NZ"/>
              </w:rPr>
              <w:t>59</w:t>
            </w:r>
          </w:p>
        </w:tc>
        <w:tc>
          <w:tcPr>
            <w:tcW w:w="2143" w:type="dxa"/>
          </w:tcPr>
          <w:p w14:paraId="4C3CB2D8" w14:textId="31231CB1" w:rsidR="00274E4D" w:rsidRPr="00F424E5" w:rsidRDefault="00274E4D" w:rsidP="00C62AA6">
            <w:pPr>
              <w:jc w:val="center"/>
              <w:cnfStyle w:val="000000000000" w:firstRow="0" w:lastRow="0" w:firstColumn="0" w:lastColumn="0" w:oddVBand="0" w:evenVBand="0" w:oddHBand="0" w:evenHBand="0" w:firstRowFirstColumn="0" w:firstRowLastColumn="0" w:lastRowFirstColumn="0" w:lastRowLastColumn="0"/>
              <w:rPr>
                <w:noProof/>
                <w:lang w:eastAsia="en-NZ"/>
              </w:rPr>
            </w:pPr>
            <w:r w:rsidRPr="00F424E5">
              <w:rPr>
                <w:noProof/>
                <w:lang w:eastAsia="en-NZ"/>
              </w:rPr>
              <w:t>3.9</w:t>
            </w:r>
            <w:r>
              <w:rPr>
                <w:noProof/>
                <w:lang w:eastAsia="en-NZ"/>
              </w:rPr>
              <w:t>0</w:t>
            </w:r>
          </w:p>
        </w:tc>
      </w:tr>
      <w:tr w:rsidR="00274E4D" w:rsidRPr="00F424E5" w14:paraId="269E1783" w14:textId="77777777" w:rsidTr="00C62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tcPr>
          <w:p w14:paraId="2AF31658" w14:textId="77777777" w:rsidR="00274E4D" w:rsidRPr="00C62AA6" w:rsidRDefault="00274E4D" w:rsidP="00C62AA6">
            <w:pPr>
              <w:jc w:val="center"/>
              <w:rPr>
                <w:b w:val="0"/>
                <w:noProof/>
                <w:lang w:eastAsia="en-NZ"/>
              </w:rPr>
            </w:pPr>
            <w:r w:rsidRPr="00C62AA6">
              <w:rPr>
                <w:b w:val="0"/>
                <w:noProof/>
                <w:lang w:eastAsia="en-NZ"/>
              </w:rPr>
              <w:t>Public transport</w:t>
            </w:r>
          </w:p>
        </w:tc>
        <w:tc>
          <w:tcPr>
            <w:tcW w:w="1510" w:type="dxa"/>
          </w:tcPr>
          <w:p w14:paraId="3124CC87" w14:textId="0B01D442" w:rsidR="00274E4D" w:rsidRPr="00F424E5" w:rsidRDefault="00274E4D" w:rsidP="00C62AA6">
            <w:pPr>
              <w:jc w:val="center"/>
              <w:cnfStyle w:val="000000100000" w:firstRow="0" w:lastRow="0" w:firstColumn="0" w:lastColumn="0" w:oddVBand="0" w:evenVBand="0" w:oddHBand="1" w:evenHBand="0" w:firstRowFirstColumn="0" w:firstRowLastColumn="0" w:lastRowFirstColumn="0" w:lastRowLastColumn="0"/>
              <w:rPr>
                <w:noProof/>
                <w:lang w:eastAsia="en-NZ"/>
              </w:rPr>
            </w:pPr>
            <w:r>
              <w:rPr>
                <w:noProof/>
                <w:lang w:eastAsia="en-NZ"/>
              </w:rPr>
              <w:t>56</w:t>
            </w:r>
          </w:p>
        </w:tc>
        <w:tc>
          <w:tcPr>
            <w:tcW w:w="1688" w:type="dxa"/>
          </w:tcPr>
          <w:p w14:paraId="7B5A6302" w14:textId="533221D5" w:rsidR="00274E4D" w:rsidRPr="00F424E5" w:rsidRDefault="00274E4D" w:rsidP="00C62AA6">
            <w:pPr>
              <w:jc w:val="center"/>
              <w:cnfStyle w:val="000000100000" w:firstRow="0" w:lastRow="0" w:firstColumn="0" w:lastColumn="0" w:oddVBand="0" w:evenVBand="0" w:oddHBand="1" w:evenHBand="0" w:firstRowFirstColumn="0" w:firstRowLastColumn="0" w:lastRowFirstColumn="0" w:lastRowLastColumn="0"/>
              <w:rPr>
                <w:noProof/>
                <w:lang w:eastAsia="en-NZ"/>
              </w:rPr>
            </w:pPr>
            <w:r>
              <w:rPr>
                <w:noProof/>
                <w:lang w:eastAsia="en-NZ"/>
              </w:rPr>
              <w:t>4.20</w:t>
            </w:r>
          </w:p>
        </w:tc>
        <w:tc>
          <w:tcPr>
            <w:tcW w:w="1514" w:type="dxa"/>
          </w:tcPr>
          <w:p w14:paraId="4AAD07BC" w14:textId="1F10CAC0" w:rsidR="00274E4D" w:rsidRPr="00F424E5" w:rsidRDefault="00274E4D" w:rsidP="00C62AA6">
            <w:pPr>
              <w:jc w:val="center"/>
              <w:cnfStyle w:val="000000100000" w:firstRow="0" w:lastRow="0" w:firstColumn="0" w:lastColumn="0" w:oddVBand="0" w:evenVBand="0" w:oddHBand="1" w:evenHBand="0" w:firstRowFirstColumn="0" w:firstRowLastColumn="0" w:lastRowFirstColumn="0" w:lastRowLastColumn="0"/>
              <w:rPr>
                <w:noProof/>
                <w:lang w:eastAsia="en-NZ"/>
              </w:rPr>
            </w:pPr>
            <w:r w:rsidRPr="00F424E5">
              <w:rPr>
                <w:noProof/>
                <w:lang w:eastAsia="en-NZ"/>
              </w:rPr>
              <w:t>67</w:t>
            </w:r>
          </w:p>
        </w:tc>
        <w:tc>
          <w:tcPr>
            <w:tcW w:w="2143" w:type="dxa"/>
          </w:tcPr>
          <w:p w14:paraId="6B0E8200" w14:textId="35BA68CB" w:rsidR="00274E4D" w:rsidRPr="00F424E5" w:rsidRDefault="00274E4D" w:rsidP="00C62AA6">
            <w:pPr>
              <w:jc w:val="center"/>
              <w:cnfStyle w:val="000000100000" w:firstRow="0" w:lastRow="0" w:firstColumn="0" w:lastColumn="0" w:oddVBand="0" w:evenVBand="0" w:oddHBand="1" w:evenHBand="0" w:firstRowFirstColumn="0" w:firstRowLastColumn="0" w:lastRowFirstColumn="0" w:lastRowLastColumn="0"/>
              <w:rPr>
                <w:noProof/>
                <w:lang w:eastAsia="en-NZ"/>
              </w:rPr>
            </w:pPr>
            <w:r w:rsidRPr="00F424E5">
              <w:rPr>
                <w:noProof/>
                <w:lang w:eastAsia="en-NZ"/>
              </w:rPr>
              <w:t>4.5</w:t>
            </w:r>
            <w:r>
              <w:rPr>
                <w:noProof/>
                <w:lang w:eastAsia="en-NZ"/>
              </w:rPr>
              <w:t>0</w:t>
            </w:r>
          </w:p>
        </w:tc>
      </w:tr>
      <w:tr w:rsidR="00274E4D" w:rsidRPr="00F424E5" w14:paraId="14873B62" w14:textId="77777777" w:rsidTr="00C62AA6">
        <w:tc>
          <w:tcPr>
            <w:cnfStyle w:val="001000000000" w:firstRow="0" w:lastRow="0" w:firstColumn="1" w:lastColumn="0" w:oddVBand="0" w:evenVBand="0" w:oddHBand="0" w:evenHBand="0" w:firstRowFirstColumn="0" w:firstRowLastColumn="0" w:lastRowFirstColumn="0" w:lastRowLastColumn="0"/>
            <w:tcW w:w="3601" w:type="dxa"/>
          </w:tcPr>
          <w:p w14:paraId="19F8CA71" w14:textId="77777777" w:rsidR="00274E4D" w:rsidRPr="00C62AA6" w:rsidRDefault="00274E4D" w:rsidP="00C62AA6">
            <w:pPr>
              <w:jc w:val="center"/>
              <w:rPr>
                <w:b w:val="0"/>
                <w:noProof/>
                <w:lang w:eastAsia="en-NZ"/>
              </w:rPr>
            </w:pPr>
            <w:r w:rsidRPr="00C62AA6">
              <w:rPr>
                <w:b w:val="0"/>
                <w:noProof/>
                <w:lang w:eastAsia="en-NZ"/>
              </w:rPr>
              <w:t>Walking and cycling improvements</w:t>
            </w:r>
          </w:p>
        </w:tc>
        <w:tc>
          <w:tcPr>
            <w:tcW w:w="1510" w:type="dxa"/>
          </w:tcPr>
          <w:p w14:paraId="5188F858" w14:textId="77B8F6E9" w:rsidR="00274E4D" w:rsidRPr="00F424E5" w:rsidRDefault="00274E4D" w:rsidP="00C62AA6">
            <w:pPr>
              <w:jc w:val="center"/>
              <w:cnfStyle w:val="000000000000" w:firstRow="0" w:lastRow="0" w:firstColumn="0" w:lastColumn="0" w:oddVBand="0" w:evenVBand="0" w:oddHBand="0" w:evenHBand="0" w:firstRowFirstColumn="0" w:firstRowLastColumn="0" w:lastRowFirstColumn="0" w:lastRowLastColumn="0"/>
              <w:rPr>
                <w:noProof/>
                <w:lang w:eastAsia="en-NZ"/>
              </w:rPr>
            </w:pPr>
            <w:r>
              <w:rPr>
                <w:noProof/>
                <w:lang w:eastAsia="en-NZ"/>
              </w:rPr>
              <w:t>50</w:t>
            </w:r>
          </w:p>
        </w:tc>
        <w:tc>
          <w:tcPr>
            <w:tcW w:w="1688" w:type="dxa"/>
          </w:tcPr>
          <w:p w14:paraId="5725B832" w14:textId="312C2D9C" w:rsidR="00274E4D" w:rsidRPr="00F424E5" w:rsidRDefault="00274E4D" w:rsidP="00C62AA6">
            <w:pPr>
              <w:jc w:val="center"/>
              <w:cnfStyle w:val="000000000000" w:firstRow="0" w:lastRow="0" w:firstColumn="0" w:lastColumn="0" w:oddVBand="0" w:evenVBand="0" w:oddHBand="0" w:evenHBand="0" w:firstRowFirstColumn="0" w:firstRowLastColumn="0" w:lastRowFirstColumn="0" w:lastRowLastColumn="0"/>
              <w:rPr>
                <w:noProof/>
                <w:lang w:eastAsia="en-NZ"/>
              </w:rPr>
            </w:pPr>
            <w:r>
              <w:rPr>
                <w:noProof/>
                <w:lang w:eastAsia="en-NZ"/>
              </w:rPr>
              <w:t>3.70</w:t>
            </w:r>
          </w:p>
        </w:tc>
        <w:tc>
          <w:tcPr>
            <w:tcW w:w="1514" w:type="dxa"/>
          </w:tcPr>
          <w:p w14:paraId="787B2052" w14:textId="072A7864" w:rsidR="00274E4D" w:rsidRPr="00F424E5" w:rsidRDefault="00274E4D" w:rsidP="00C62AA6">
            <w:pPr>
              <w:jc w:val="center"/>
              <w:cnfStyle w:val="000000000000" w:firstRow="0" w:lastRow="0" w:firstColumn="0" w:lastColumn="0" w:oddVBand="0" w:evenVBand="0" w:oddHBand="0" w:evenHBand="0" w:firstRowFirstColumn="0" w:firstRowLastColumn="0" w:lastRowFirstColumn="0" w:lastRowLastColumn="0"/>
              <w:rPr>
                <w:noProof/>
                <w:lang w:eastAsia="en-NZ"/>
              </w:rPr>
            </w:pPr>
            <w:r w:rsidRPr="00F424E5">
              <w:rPr>
                <w:noProof/>
                <w:lang w:eastAsia="en-NZ"/>
              </w:rPr>
              <w:t>50</w:t>
            </w:r>
          </w:p>
        </w:tc>
        <w:tc>
          <w:tcPr>
            <w:tcW w:w="2143" w:type="dxa"/>
          </w:tcPr>
          <w:p w14:paraId="2693F0BD" w14:textId="4A9C37EA" w:rsidR="00274E4D" w:rsidRPr="00F424E5" w:rsidRDefault="00274E4D" w:rsidP="00C62AA6">
            <w:pPr>
              <w:jc w:val="center"/>
              <w:cnfStyle w:val="000000000000" w:firstRow="0" w:lastRow="0" w:firstColumn="0" w:lastColumn="0" w:oddVBand="0" w:evenVBand="0" w:oddHBand="0" w:evenHBand="0" w:firstRowFirstColumn="0" w:firstRowLastColumn="0" w:lastRowFirstColumn="0" w:lastRowLastColumn="0"/>
              <w:rPr>
                <w:noProof/>
                <w:lang w:eastAsia="en-NZ"/>
              </w:rPr>
            </w:pPr>
            <w:r w:rsidRPr="00F424E5">
              <w:rPr>
                <w:noProof/>
                <w:lang w:eastAsia="en-NZ"/>
              </w:rPr>
              <w:t>3.3</w:t>
            </w:r>
            <w:r>
              <w:rPr>
                <w:noProof/>
                <w:lang w:eastAsia="en-NZ"/>
              </w:rPr>
              <w:t>0</w:t>
            </w:r>
          </w:p>
        </w:tc>
      </w:tr>
      <w:tr w:rsidR="00274E4D" w:rsidRPr="00F424E5" w14:paraId="375A7A1B" w14:textId="77777777" w:rsidTr="00C62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tcPr>
          <w:p w14:paraId="22FDE556" w14:textId="77777777" w:rsidR="00274E4D" w:rsidRPr="00C62AA6" w:rsidRDefault="00274E4D" w:rsidP="00C62AA6">
            <w:pPr>
              <w:jc w:val="center"/>
              <w:rPr>
                <w:b w:val="0"/>
                <w:noProof/>
                <w:lang w:eastAsia="en-NZ"/>
              </w:rPr>
            </w:pPr>
            <w:r w:rsidRPr="00C62AA6">
              <w:rPr>
                <w:b w:val="0"/>
                <w:noProof/>
                <w:lang w:eastAsia="en-NZ"/>
              </w:rPr>
              <w:t>Rapid transit</w:t>
            </w:r>
          </w:p>
        </w:tc>
        <w:tc>
          <w:tcPr>
            <w:tcW w:w="1510" w:type="dxa"/>
          </w:tcPr>
          <w:p w14:paraId="7EE4397C" w14:textId="0DE54CE5" w:rsidR="00274E4D" w:rsidRPr="00F424E5" w:rsidRDefault="00274E4D" w:rsidP="00C62AA6">
            <w:pPr>
              <w:jc w:val="center"/>
              <w:cnfStyle w:val="000000100000" w:firstRow="0" w:lastRow="0" w:firstColumn="0" w:lastColumn="0" w:oddVBand="0" w:evenVBand="0" w:oddHBand="1" w:evenHBand="0" w:firstRowFirstColumn="0" w:firstRowLastColumn="0" w:lastRowFirstColumn="0" w:lastRowLastColumn="0"/>
              <w:rPr>
                <w:noProof/>
                <w:lang w:eastAsia="en-NZ"/>
              </w:rPr>
            </w:pPr>
            <w:r>
              <w:rPr>
                <w:noProof/>
                <w:lang w:eastAsia="en-NZ"/>
              </w:rPr>
              <w:t>1</w:t>
            </w:r>
          </w:p>
        </w:tc>
        <w:tc>
          <w:tcPr>
            <w:tcW w:w="1688" w:type="dxa"/>
          </w:tcPr>
          <w:p w14:paraId="03584F27" w14:textId="32C2B850" w:rsidR="00274E4D" w:rsidRPr="00F424E5" w:rsidRDefault="00274E4D" w:rsidP="00C62AA6">
            <w:pPr>
              <w:jc w:val="center"/>
              <w:cnfStyle w:val="000000100000" w:firstRow="0" w:lastRow="0" w:firstColumn="0" w:lastColumn="0" w:oddVBand="0" w:evenVBand="0" w:oddHBand="1" w:evenHBand="0" w:firstRowFirstColumn="0" w:firstRowLastColumn="0" w:lastRowFirstColumn="0" w:lastRowLastColumn="0"/>
              <w:rPr>
                <w:noProof/>
                <w:lang w:eastAsia="en-NZ"/>
              </w:rPr>
            </w:pPr>
            <w:r>
              <w:rPr>
                <w:noProof/>
                <w:lang w:eastAsia="en-NZ"/>
              </w:rPr>
              <w:t>0.10</w:t>
            </w:r>
          </w:p>
        </w:tc>
        <w:tc>
          <w:tcPr>
            <w:tcW w:w="1514" w:type="dxa"/>
          </w:tcPr>
          <w:p w14:paraId="0153D9B4" w14:textId="03595705" w:rsidR="00274E4D" w:rsidRPr="00F424E5" w:rsidRDefault="00274E4D" w:rsidP="00C62AA6">
            <w:pPr>
              <w:jc w:val="center"/>
              <w:cnfStyle w:val="000000100000" w:firstRow="0" w:lastRow="0" w:firstColumn="0" w:lastColumn="0" w:oddVBand="0" w:evenVBand="0" w:oddHBand="1" w:evenHBand="0" w:firstRowFirstColumn="0" w:firstRowLastColumn="0" w:lastRowFirstColumn="0" w:lastRowLastColumn="0"/>
              <w:rPr>
                <w:noProof/>
                <w:lang w:eastAsia="en-NZ"/>
              </w:rPr>
            </w:pPr>
            <w:r w:rsidRPr="00F424E5">
              <w:rPr>
                <w:noProof/>
                <w:lang w:eastAsia="en-NZ"/>
              </w:rPr>
              <w:t>1</w:t>
            </w:r>
          </w:p>
        </w:tc>
        <w:tc>
          <w:tcPr>
            <w:tcW w:w="2143" w:type="dxa"/>
          </w:tcPr>
          <w:p w14:paraId="08D3907B" w14:textId="6619FB80" w:rsidR="00274E4D" w:rsidRPr="00F424E5" w:rsidRDefault="00274E4D" w:rsidP="00C62AA6">
            <w:pPr>
              <w:jc w:val="center"/>
              <w:cnfStyle w:val="000000100000" w:firstRow="0" w:lastRow="0" w:firstColumn="0" w:lastColumn="0" w:oddVBand="0" w:evenVBand="0" w:oddHBand="1" w:evenHBand="0" w:firstRowFirstColumn="0" w:firstRowLastColumn="0" w:lastRowFirstColumn="0" w:lastRowLastColumn="0"/>
              <w:rPr>
                <w:noProof/>
                <w:lang w:eastAsia="en-NZ"/>
              </w:rPr>
            </w:pPr>
            <w:r w:rsidRPr="00F424E5">
              <w:rPr>
                <w:noProof/>
                <w:lang w:eastAsia="en-NZ"/>
              </w:rPr>
              <w:t>0.07</w:t>
            </w:r>
          </w:p>
        </w:tc>
      </w:tr>
      <w:tr w:rsidR="00274E4D" w:rsidRPr="00F424E5" w14:paraId="28721077" w14:textId="77777777" w:rsidTr="00C62AA6">
        <w:tc>
          <w:tcPr>
            <w:cnfStyle w:val="001000000000" w:firstRow="0" w:lastRow="0" w:firstColumn="1" w:lastColumn="0" w:oddVBand="0" w:evenVBand="0" w:oddHBand="0" w:evenHBand="0" w:firstRowFirstColumn="0" w:firstRowLastColumn="0" w:lastRowFirstColumn="0" w:lastRowLastColumn="0"/>
            <w:tcW w:w="3601" w:type="dxa"/>
          </w:tcPr>
          <w:p w14:paraId="250B1E5C" w14:textId="77777777" w:rsidR="00274E4D" w:rsidRPr="00C62AA6" w:rsidRDefault="00274E4D" w:rsidP="00C62AA6">
            <w:pPr>
              <w:jc w:val="center"/>
              <w:rPr>
                <w:b w:val="0"/>
                <w:noProof/>
                <w:lang w:eastAsia="en-NZ"/>
              </w:rPr>
            </w:pPr>
            <w:r w:rsidRPr="00C62AA6">
              <w:rPr>
                <w:b w:val="0"/>
                <w:noProof/>
                <w:lang w:eastAsia="en-NZ"/>
              </w:rPr>
              <w:t>Transitional rail</w:t>
            </w:r>
          </w:p>
        </w:tc>
        <w:tc>
          <w:tcPr>
            <w:tcW w:w="1510" w:type="dxa"/>
          </w:tcPr>
          <w:p w14:paraId="4C608615" w14:textId="30C3B799" w:rsidR="00274E4D" w:rsidRPr="00F424E5" w:rsidRDefault="00274E4D" w:rsidP="00C62AA6">
            <w:pPr>
              <w:jc w:val="center"/>
              <w:cnfStyle w:val="000000000000" w:firstRow="0" w:lastRow="0" w:firstColumn="0" w:lastColumn="0" w:oddVBand="0" w:evenVBand="0" w:oddHBand="0" w:evenHBand="0" w:firstRowFirstColumn="0" w:firstRowLastColumn="0" w:lastRowFirstColumn="0" w:lastRowLastColumn="0"/>
              <w:rPr>
                <w:noProof/>
                <w:lang w:eastAsia="en-NZ"/>
              </w:rPr>
            </w:pPr>
            <w:r>
              <w:rPr>
                <w:noProof/>
                <w:lang w:eastAsia="en-NZ"/>
              </w:rPr>
              <w:t>1</w:t>
            </w:r>
          </w:p>
        </w:tc>
        <w:tc>
          <w:tcPr>
            <w:tcW w:w="1688" w:type="dxa"/>
          </w:tcPr>
          <w:p w14:paraId="7494B877" w14:textId="3605922B" w:rsidR="00274E4D" w:rsidRPr="00F424E5" w:rsidRDefault="00274E4D" w:rsidP="00C62AA6">
            <w:pPr>
              <w:jc w:val="center"/>
              <w:cnfStyle w:val="000000000000" w:firstRow="0" w:lastRow="0" w:firstColumn="0" w:lastColumn="0" w:oddVBand="0" w:evenVBand="0" w:oddHBand="0" w:evenHBand="0" w:firstRowFirstColumn="0" w:firstRowLastColumn="0" w:lastRowFirstColumn="0" w:lastRowLastColumn="0"/>
              <w:rPr>
                <w:noProof/>
                <w:lang w:eastAsia="en-NZ"/>
              </w:rPr>
            </w:pPr>
            <w:r>
              <w:rPr>
                <w:noProof/>
                <w:lang w:eastAsia="en-NZ"/>
              </w:rPr>
              <w:t>0.10</w:t>
            </w:r>
          </w:p>
        </w:tc>
        <w:tc>
          <w:tcPr>
            <w:tcW w:w="1514" w:type="dxa"/>
          </w:tcPr>
          <w:p w14:paraId="36988896" w14:textId="0CDCA499" w:rsidR="00274E4D" w:rsidRPr="00F424E5" w:rsidRDefault="00274E4D" w:rsidP="00C62AA6">
            <w:pPr>
              <w:jc w:val="center"/>
              <w:cnfStyle w:val="000000000000" w:firstRow="0" w:lastRow="0" w:firstColumn="0" w:lastColumn="0" w:oddVBand="0" w:evenVBand="0" w:oddHBand="0" w:evenHBand="0" w:firstRowFirstColumn="0" w:firstRowLastColumn="0" w:lastRowFirstColumn="0" w:lastRowLastColumn="0"/>
              <w:rPr>
                <w:noProof/>
                <w:lang w:eastAsia="en-NZ"/>
              </w:rPr>
            </w:pPr>
            <w:r w:rsidRPr="00F424E5">
              <w:rPr>
                <w:noProof/>
                <w:lang w:eastAsia="en-NZ"/>
              </w:rPr>
              <w:t>2</w:t>
            </w:r>
          </w:p>
        </w:tc>
        <w:tc>
          <w:tcPr>
            <w:tcW w:w="2143" w:type="dxa"/>
          </w:tcPr>
          <w:p w14:paraId="14BCC22E" w14:textId="6741CB70" w:rsidR="00274E4D" w:rsidRPr="00F424E5" w:rsidRDefault="00274E4D" w:rsidP="00C62AA6">
            <w:pPr>
              <w:jc w:val="center"/>
              <w:cnfStyle w:val="000000000000" w:firstRow="0" w:lastRow="0" w:firstColumn="0" w:lastColumn="0" w:oddVBand="0" w:evenVBand="0" w:oddHBand="0" w:evenHBand="0" w:firstRowFirstColumn="0" w:firstRowLastColumn="0" w:lastRowFirstColumn="0" w:lastRowLastColumn="0"/>
              <w:rPr>
                <w:noProof/>
                <w:lang w:eastAsia="en-NZ"/>
              </w:rPr>
            </w:pPr>
            <w:r w:rsidRPr="00F424E5">
              <w:rPr>
                <w:noProof/>
                <w:lang w:eastAsia="en-NZ"/>
              </w:rPr>
              <w:t>0.13</w:t>
            </w:r>
          </w:p>
        </w:tc>
      </w:tr>
      <w:tr w:rsidR="00274E4D" w:rsidRPr="00F424E5" w14:paraId="5BD3197E" w14:textId="77777777" w:rsidTr="00C62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tcPr>
          <w:p w14:paraId="766B2579" w14:textId="474FE805" w:rsidR="00274E4D" w:rsidRPr="00C62AA6" w:rsidRDefault="00274E4D" w:rsidP="00C62AA6">
            <w:pPr>
              <w:jc w:val="center"/>
              <w:rPr>
                <w:b w:val="0"/>
                <w:noProof/>
                <w:lang w:eastAsia="en-NZ"/>
              </w:rPr>
            </w:pPr>
            <w:r w:rsidRPr="00C62AA6">
              <w:rPr>
                <w:b w:val="0"/>
                <w:noProof/>
                <w:lang w:eastAsia="en-NZ"/>
              </w:rPr>
              <w:t>TOTAL</w:t>
            </w:r>
          </w:p>
        </w:tc>
        <w:tc>
          <w:tcPr>
            <w:tcW w:w="1510" w:type="dxa"/>
          </w:tcPr>
          <w:p w14:paraId="07898E84" w14:textId="791B554E" w:rsidR="00274E4D" w:rsidRPr="00C62AA6" w:rsidRDefault="00274E4D" w:rsidP="00C62AA6">
            <w:pPr>
              <w:jc w:val="center"/>
              <w:cnfStyle w:val="000000100000" w:firstRow="0" w:lastRow="0" w:firstColumn="0" w:lastColumn="0" w:oddVBand="0" w:evenVBand="0" w:oddHBand="1" w:evenHBand="0" w:firstRowFirstColumn="0" w:firstRowLastColumn="0" w:lastRowFirstColumn="0" w:lastRowLastColumn="0"/>
              <w:rPr>
                <w:noProof/>
                <w:lang w:eastAsia="en-NZ"/>
              </w:rPr>
            </w:pPr>
            <w:r w:rsidRPr="00C62AA6">
              <w:rPr>
                <w:noProof/>
                <w:lang w:eastAsia="en-NZ"/>
              </w:rPr>
              <w:t>1.343</w:t>
            </w:r>
          </w:p>
        </w:tc>
        <w:tc>
          <w:tcPr>
            <w:tcW w:w="1688" w:type="dxa"/>
          </w:tcPr>
          <w:p w14:paraId="432D25A9" w14:textId="5BCD5508" w:rsidR="00274E4D" w:rsidRPr="00C62AA6" w:rsidRDefault="00274E4D" w:rsidP="00C62AA6">
            <w:pPr>
              <w:jc w:val="center"/>
              <w:cnfStyle w:val="000000100000" w:firstRow="0" w:lastRow="0" w:firstColumn="0" w:lastColumn="0" w:oddVBand="0" w:evenVBand="0" w:oddHBand="1" w:evenHBand="0" w:firstRowFirstColumn="0" w:firstRowLastColumn="0" w:lastRowFirstColumn="0" w:lastRowLastColumn="0"/>
              <w:rPr>
                <w:noProof/>
                <w:lang w:eastAsia="en-NZ"/>
              </w:rPr>
            </w:pPr>
            <w:r w:rsidRPr="00C62AA6">
              <w:rPr>
                <w:noProof/>
                <w:lang w:eastAsia="en-NZ"/>
              </w:rPr>
              <w:t>100.00</w:t>
            </w:r>
          </w:p>
        </w:tc>
        <w:tc>
          <w:tcPr>
            <w:tcW w:w="1514" w:type="dxa"/>
          </w:tcPr>
          <w:p w14:paraId="360A97B7" w14:textId="03D51B2D" w:rsidR="00274E4D" w:rsidRPr="00C62AA6" w:rsidRDefault="00274E4D" w:rsidP="00C62AA6">
            <w:pPr>
              <w:jc w:val="center"/>
              <w:cnfStyle w:val="000000100000" w:firstRow="0" w:lastRow="0" w:firstColumn="0" w:lastColumn="0" w:oddVBand="0" w:evenVBand="0" w:oddHBand="1" w:evenHBand="0" w:firstRowFirstColumn="0" w:firstRowLastColumn="0" w:lastRowFirstColumn="0" w:lastRowLastColumn="0"/>
              <w:rPr>
                <w:noProof/>
                <w:lang w:eastAsia="en-NZ"/>
              </w:rPr>
            </w:pPr>
            <w:r w:rsidRPr="00C62AA6">
              <w:rPr>
                <w:noProof/>
                <w:lang w:eastAsia="en-NZ"/>
              </w:rPr>
              <w:t>1.503</w:t>
            </w:r>
          </w:p>
        </w:tc>
        <w:tc>
          <w:tcPr>
            <w:tcW w:w="2143" w:type="dxa"/>
          </w:tcPr>
          <w:p w14:paraId="4F6B20B8" w14:textId="110FC076" w:rsidR="00274E4D" w:rsidRPr="00C62AA6" w:rsidRDefault="00274E4D" w:rsidP="00C62AA6">
            <w:pPr>
              <w:jc w:val="center"/>
              <w:cnfStyle w:val="000000100000" w:firstRow="0" w:lastRow="0" w:firstColumn="0" w:lastColumn="0" w:oddVBand="0" w:evenVBand="0" w:oddHBand="1" w:evenHBand="0" w:firstRowFirstColumn="0" w:firstRowLastColumn="0" w:lastRowFirstColumn="0" w:lastRowLastColumn="0"/>
              <w:rPr>
                <w:noProof/>
                <w:lang w:eastAsia="en-NZ"/>
              </w:rPr>
            </w:pPr>
            <w:r w:rsidRPr="00C62AA6">
              <w:rPr>
                <w:noProof/>
                <w:lang w:eastAsia="en-NZ"/>
              </w:rPr>
              <w:t>100.00</w:t>
            </w:r>
          </w:p>
        </w:tc>
      </w:tr>
    </w:tbl>
    <w:p w14:paraId="1DFC756A" w14:textId="62590BD0" w:rsidR="00C62AA6" w:rsidRDefault="00C62AA6" w:rsidP="004A0965">
      <w:pPr>
        <w:pStyle w:val="Heading1"/>
        <w:spacing w:before="120" w:after="120"/>
        <w:ind w:left="0" w:right="-28"/>
        <w:rPr>
          <w:rFonts w:ascii="Arial" w:eastAsia="Arial" w:hAnsi="Arial" w:cs="Arial"/>
          <w:color w:val="FFC000" w:themeColor="accent4"/>
          <w:sz w:val="22"/>
          <w:szCs w:val="22"/>
        </w:rPr>
      </w:pPr>
      <w:bookmarkStart w:id="5" w:name="_Hlk70425759"/>
      <w:bookmarkEnd w:id="3"/>
      <w:bookmarkEnd w:id="4"/>
    </w:p>
    <w:p w14:paraId="0D2702C2" w14:textId="08FC37D5" w:rsidR="00972912" w:rsidRDefault="00972912" w:rsidP="004A0965">
      <w:pPr>
        <w:pStyle w:val="Heading1"/>
        <w:spacing w:before="120" w:after="120"/>
        <w:ind w:left="0" w:right="-28"/>
        <w:rPr>
          <w:rFonts w:ascii="Arial" w:eastAsia="Arial" w:hAnsi="Arial" w:cs="Arial"/>
          <w:color w:val="FFC000" w:themeColor="accent4"/>
          <w:sz w:val="22"/>
          <w:szCs w:val="22"/>
        </w:rPr>
      </w:pPr>
    </w:p>
    <w:p w14:paraId="3E16B701" w14:textId="10083084" w:rsidR="00972912" w:rsidRDefault="00972912" w:rsidP="00972912">
      <w:pPr>
        <w:pStyle w:val="Heading1"/>
        <w:spacing w:before="120" w:after="120"/>
        <w:ind w:left="0" w:right="-28"/>
        <w:rPr>
          <w:b w:val="0"/>
          <w:sz w:val="18"/>
          <w:szCs w:val="18"/>
        </w:rPr>
      </w:pPr>
    </w:p>
    <w:tbl>
      <w:tblPr>
        <w:tblpPr w:leftFromText="180" w:rightFromText="180" w:vertAnchor="text" w:horzAnchor="margin" w:tblpY="-28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972912" w:rsidRPr="00BA0BD0" w14:paraId="186F1410" w14:textId="77777777" w:rsidTr="008D45D9">
        <w:trPr>
          <w:trHeight w:val="1020"/>
        </w:trPr>
        <w:tc>
          <w:tcPr>
            <w:tcW w:w="10485" w:type="dxa"/>
            <w:shd w:val="clear" w:color="auto" w:fill="D0CECE" w:themeFill="background2" w:themeFillShade="E6"/>
          </w:tcPr>
          <w:p w14:paraId="293C6914" w14:textId="77777777" w:rsidR="00972912" w:rsidRPr="00B40F9F" w:rsidRDefault="00972912" w:rsidP="008D45D9">
            <w:pPr>
              <w:keepNext/>
              <w:spacing w:after="0"/>
              <w:ind w:left="17"/>
              <w:rPr>
                <w:rFonts w:asciiTheme="minorHAnsi" w:hAnsiTheme="minorHAnsi" w:cstheme="minorHAnsi"/>
                <w:b/>
                <w:color w:val="000000" w:themeColor="text1"/>
                <w:sz w:val="16"/>
                <w:szCs w:val="16"/>
              </w:rPr>
            </w:pPr>
            <w:r w:rsidRPr="00B40F9F">
              <w:rPr>
                <w:rFonts w:asciiTheme="minorHAnsi" w:hAnsiTheme="minorHAnsi" w:cstheme="minorHAnsi"/>
                <w:b/>
                <w:color w:val="000000" w:themeColor="text1"/>
                <w:sz w:val="16"/>
                <w:szCs w:val="16"/>
              </w:rPr>
              <w:t>About these indicators</w:t>
            </w:r>
          </w:p>
          <w:p w14:paraId="519C7477" w14:textId="77777777" w:rsidR="00972912" w:rsidRPr="00972912" w:rsidRDefault="00972912" w:rsidP="00972912">
            <w:pPr>
              <w:pStyle w:val="BodyText"/>
              <w:spacing w:before="120" w:after="120"/>
              <w:ind w:right="-28"/>
              <w:rPr>
                <w:rFonts w:ascii="Calibri" w:hAnsi="Calibri" w:cs="Calibri"/>
                <w:sz w:val="18"/>
                <w:szCs w:val="18"/>
              </w:rPr>
            </w:pPr>
            <w:r w:rsidRPr="00972912">
              <w:rPr>
                <w:rFonts w:ascii="Calibri" w:hAnsi="Calibri" w:cs="Calibri"/>
                <w:i/>
                <w:sz w:val="18"/>
                <w:szCs w:val="18"/>
              </w:rPr>
              <w:t>Data source</w:t>
            </w:r>
            <w:r w:rsidRPr="00972912">
              <w:rPr>
                <w:rFonts w:ascii="Calibri" w:hAnsi="Calibri" w:cs="Calibri"/>
                <w:bCs/>
                <w:sz w:val="18"/>
                <w:szCs w:val="18"/>
              </w:rPr>
              <w:t>: Waka Kotahi National Land Transport Fund annual report 2018 and 2019/20.</w:t>
            </w:r>
            <w:r w:rsidRPr="00972912">
              <w:rPr>
                <w:rFonts w:ascii="Calibri" w:hAnsi="Calibri" w:cs="Calibri"/>
                <w:sz w:val="18"/>
                <w:szCs w:val="18"/>
              </w:rPr>
              <w:t xml:space="preserve"> The figures show investment levels from the National Land Transport Fund, local share and the Crown, and excludes  investment from the Provincial Growth Fund, SuperGold Card funding and also investment in the Investment management activity class. </w:t>
            </w:r>
          </w:p>
          <w:p w14:paraId="7A2CD0D2" w14:textId="423AF961" w:rsidR="00972912" w:rsidRDefault="00972912" w:rsidP="00972912">
            <w:pPr>
              <w:pStyle w:val="Heading1"/>
              <w:spacing w:before="120" w:after="120"/>
              <w:ind w:left="0" w:right="-28"/>
              <w:rPr>
                <w:b w:val="0"/>
                <w:sz w:val="18"/>
                <w:szCs w:val="18"/>
              </w:rPr>
            </w:pPr>
            <w:r w:rsidRPr="00972912">
              <w:rPr>
                <w:b w:val="0"/>
                <w:sz w:val="18"/>
                <w:szCs w:val="18"/>
              </w:rPr>
              <w:t>Investment in outcomes is calculated using monetised benefits provided in Transport Investment Online. For example, a $1 million improvement project with 60% of monetised benefits relating to safety and 40% of monetised benefits relating to access would generate $600,000 investment towards safety outcomes and $400,000 investment towards access outcomes. For projects with no monetised benefits such as maintenance activities, calculations are dependent on the activity class, work category and primary benefits identified.  For example, activities under the sealed pavement maintenance work category generate investment outcomes of 20% for safety, 60% for access-access, 10% for access-choice and 10% environment. This split reflects the purpose of all activities placed under this work category and is the basis for estimating the value of investment outcomes of such activities.</w:t>
            </w:r>
          </w:p>
          <w:p w14:paraId="6A6AA5FF" w14:textId="2293934E" w:rsidR="00972912" w:rsidRPr="00972912" w:rsidRDefault="00972912" w:rsidP="00972912">
            <w:pPr>
              <w:pStyle w:val="Heading1"/>
              <w:spacing w:before="120" w:after="120"/>
              <w:ind w:left="0" w:right="-28"/>
              <w:rPr>
                <w:b w:val="0"/>
                <w:sz w:val="18"/>
                <w:szCs w:val="18"/>
              </w:rPr>
            </w:pPr>
            <w:r w:rsidRPr="00972912">
              <w:rPr>
                <w:i/>
                <w:sz w:val="18"/>
                <w:szCs w:val="18"/>
              </w:rPr>
              <w:t>Note</w:t>
            </w:r>
            <w:r>
              <w:rPr>
                <w:b w:val="0"/>
                <w:sz w:val="18"/>
                <w:szCs w:val="18"/>
              </w:rPr>
              <w:t xml:space="preserve">: the sum % does not add up to 100% as this table does not include individual activity class investments. </w:t>
            </w:r>
          </w:p>
        </w:tc>
      </w:tr>
    </w:tbl>
    <w:p w14:paraId="0B99EAEE" w14:textId="77777777" w:rsidR="00972912" w:rsidRPr="00972912" w:rsidRDefault="00972912" w:rsidP="00972912">
      <w:pPr>
        <w:pStyle w:val="Heading1"/>
        <w:spacing w:before="120" w:after="120"/>
        <w:ind w:left="0" w:right="-28"/>
        <w:rPr>
          <w:rFonts w:ascii="Arial" w:eastAsia="Arial" w:hAnsi="Arial" w:cs="Arial"/>
          <w:b w:val="0"/>
          <w:color w:val="FFC000" w:themeColor="accent4"/>
          <w:sz w:val="22"/>
          <w:szCs w:val="22"/>
        </w:rPr>
      </w:pPr>
    </w:p>
    <w:p w14:paraId="6291F732" w14:textId="3344B463" w:rsidR="009E6311" w:rsidRPr="00C62AA6" w:rsidRDefault="00604063" w:rsidP="004A0965">
      <w:pPr>
        <w:pStyle w:val="Heading1"/>
        <w:spacing w:before="120" w:after="120"/>
        <w:ind w:left="0" w:right="-28"/>
        <w:rPr>
          <w:rFonts w:asciiTheme="minorHAnsi" w:eastAsia="Arial" w:hAnsiTheme="minorHAnsi" w:cstheme="minorHAnsi"/>
          <w:color w:val="FFC000" w:themeColor="accent4"/>
          <w:szCs w:val="22"/>
        </w:rPr>
      </w:pPr>
      <w:r>
        <w:rPr>
          <w:rFonts w:asciiTheme="minorHAnsi" w:eastAsia="Arial" w:hAnsiTheme="minorHAnsi" w:cstheme="minorHAnsi"/>
          <w:color w:val="FFC000" w:themeColor="accent4"/>
          <w:szCs w:val="22"/>
        </w:rPr>
        <w:t>Speed and Infrastructure</w:t>
      </w:r>
      <w:r w:rsidR="001062E2" w:rsidRPr="00C62AA6">
        <w:rPr>
          <w:rFonts w:asciiTheme="minorHAnsi" w:eastAsia="Arial" w:hAnsiTheme="minorHAnsi" w:cstheme="minorHAnsi"/>
          <w:color w:val="FFC000" w:themeColor="accent4"/>
          <w:szCs w:val="22"/>
        </w:rPr>
        <w:t xml:space="preserve"> Programme</w:t>
      </w:r>
      <w:r w:rsidR="004A0965" w:rsidRPr="00C62AA6">
        <w:rPr>
          <w:rFonts w:asciiTheme="minorHAnsi" w:eastAsia="Arial" w:hAnsiTheme="minorHAnsi" w:cstheme="minorHAnsi"/>
          <w:color w:val="FFC000" w:themeColor="accent4"/>
          <w:szCs w:val="22"/>
        </w:rPr>
        <w:t xml:space="preserve"> </w:t>
      </w:r>
    </w:p>
    <w:p w14:paraId="4627E0CA" w14:textId="76EF5358" w:rsidR="001062E2" w:rsidRDefault="001062E2" w:rsidP="001062E2">
      <w:r>
        <w:t xml:space="preserve">The </w:t>
      </w:r>
      <w:r w:rsidR="00604063">
        <w:t xml:space="preserve">Speed and Infrastructure Programme (formerly known as the </w:t>
      </w:r>
      <w:r>
        <w:t>Safe Network Programme</w:t>
      </w:r>
      <w:r w:rsidR="00604063">
        <w:t>)</w:t>
      </w:r>
      <w:r>
        <w:t xml:space="preserve"> is a $1.4 billion investment which improves roads across New Zealand through the installation of median and side barriers, rumble strips, </w:t>
      </w:r>
      <w:r w:rsidR="00604063">
        <w:t>wider centrelines, roundabouts and reviewing speed limits to ensure they are safe and appropriate. The programme also focuses on safety improvements at level rail crossings.</w:t>
      </w:r>
    </w:p>
    <w:p w14:paraId="7F67F74C" w14:textId="35854605" w:rsidR="00DB6A87" w:rsidRDefault="001062E2" w:rsidP="001062E2">
      <w:r>
        <w:t xml:space="preserve">In the current 2018-2021 National Land Transport Programme period to 30 June 2020, $640 million was invested in safety across the country on state highways and local roads, and it is expected to reach approximately $1 billion by the end of the period. Twelve large projects and 13 level crossings were completed. A total of 119km of state highways had speed limit modifications </w:t>
      </w:r>
      <w:r w:rsidR="00DB6A87">
        <w:t>to align with safe and appropriate speeds.</w:t>
      </w:r>
      <w:r w:rsidR="0054266D">
        <w:t xml:space="preserve"> </w:t>
      </w:r>
      <w:r w:rsidRPr="00137A15">
        <w:t xml:space="preserve">These </w:t>
      </w:r>
      <w:r>
        <w:t xml:space="preserve">are </w:t>
      </w:r>
      <w:r w:rsidRPr="007934BB">
        <w:t>critical for improving our roads' safety and subsequently reducing deaths and serious injuries.</w:t>
      </w:r>
    </w:p>
    <w:p w14:paraId="54492103" w14:textId="41B0FC80" w:rsidR="008730FA" w:rsidRPr="00C62AA6" w:rsidRDefault="00001D21" w:rsidP="00C62AA6">
      <w:pPr>
        <w:rPr>
          <w:bCs/>
          <w:sz w:val="18"/>
        </w:rPr>
      </w:pPr>
      <w:r>
        <w:t>T</w:t>
      </w:r>
      <w:r w:rsidR="00DB6A87">
        <w:t>here will be increased investment in safety infrastructure and speed management to at least $5 billion over the 10-year period. This investment is targeted to those roads and roadsides, which offer the greatest potential for reducing DSIs. These improvements will create safer roads at the current speed limit and reduce the risk of head-on and run off-road crashes, urban and rural intersection crashes and harm to vulnerable road users.</w:t>
      </w:r>
      <w:bookmarkEnd w:id="5"/>
      <w:r w:rsidR="00BD0745" w:rsidRPr="008730FA" w:rsidDel="00C0428A">
        <w:rPr>
          <w:rFonts w:ascii="Calibri" w:hAnsi="Calibri" w:cs="Calibri"/>
          <w:i/>
          <w:noProof/>
          <w:sz w:val="18"/>
        </w:rPr>
        <w:t xml:space="preserve"> </w:t>
      </w:r>
      <w:r w:rsidR="00192608">
        <w:rPr>
          <w:bCs/>
          <w:sz w:val="18"/>
        </w:rPr>
        <w:t xml:space="preserve"> </w:t>
      </w:r>
    </w:p>
    <w:p w14:paraId="1A654543" w14:textId="1FF89CB5" w:rsidR="00D01AEB" w:rsidRDefault="00D01AEB" w:rsidP="00456D90">
      <w:pPr>
        <w:pStyle w:val="Heading1"/>
        <w:ind w:left="0"/>
        <w:rPr>
          <w:color w:val="FFC000" w:themeColor="accent4"/>
        </w:rPr>
      </w:pPr>
    </w:p>
    <w:p w14:paraId="5A9CE64E" w14:textId="77777777" w:rsidR="003C3161" w:rsidRDefault="003C3161" w:rsidP="00456D90">
      <w:pPr>
        <w:pStyle w:val="Heading1"/>
        <w:ind w:left="0"/>
        <w:rPr>
          <w:color w:val="FFC000" w:themeColor="accent4"/>
        </w:rPr>
      </w:pPr>
    </w:p>
    <w:p w14:paraId="7E74CA69" w14:textId="77777777" w:rsidR="003C3161" w:rsidRDefault="003C3161" w:rsidP="00456D90">
      <w:pPr>
        <w:pStyle w:val="Heading1"/>
        <w:ind w:left="0"/>
        <w:rPr>
          <w:color w:val="FFC000" w:themeColor="accent4"/>
        </w:rPr>
      </w:pPr>
    </w:p>
    <w:p w14:paraId="7BD8676B" w14:textId="77777777" w:rsidR="003C3161" w:rsidRDefault="003C3161" w:rsidP="00456D90">
      <w:pPr>
        <w:pStyle w:val="Heading1"/>
        <w:ind w:left="0"/>
        <w:rPr>
          <w:color w:val="FFC000" w:themeColor="accent4"/>
        </w:rPr>
      </w:pPr>
    </w:p>
    <w:p w14:paraId="67C910FB" w14:textId="77777777" w:rsidR="003C3161" w:rsidRDefault="003C3161" w:rsidP="00456D90">
      <w:pPr>
        <w:pStyle w:val="Heading1"/>
        <w:ind w:left="0"/>
        <w:rPr>
          <w:color w:val="FFC000" w:themeColor="accent4"/>
        </w:rPr>
      </w:pPr>
    </w:p>
    <w:p w14:paraId="71903305" w14:textId="77777777" w:rsidR="003C3161" w:rsidRDefault="003C3161" w:rsidP="00456D90">
      <w:pPr>
        <w:pStyle w:val="Heading1"/>
        <w:ind w:left="0"/>
        <w:rPr>
          <w:color w:val="FFC000" w:themeColor="accent4"/>
        </w:rPr>
      </w:pPr>
    </w:p>
    <w:p w14:paraId="613EA734" w14:textId="77777777" w:rsidR="003C3161" w:rsidRDefault="003C3161" w:rsidP="00456D90">
      <w:pPr>
        <w:pStyle w:val="Heading1"/>
        <w:ind w:left="0"/>
        <w:rPr>
          <w:color w:val="FFC000" w:themeColor="accent4"/>
        </w:rPr>
      </w:pPr>
    </w:p>
    <w:p w14:paraId="1EE77659" w14:textId="77777777" w:rsidR="003C3161" w:rsidRDefault="003C3161" w:rsidP="00456D90">
      <w:pPr>
        <w:pStyle w:val="Heading1"/>
        <w:ind w:left="0"/>
        <w:rPr>
          <w:color w:val="FFC000" w:themeColor="accent4"/>
        </w:rPr>
      </w:pPr>
    </w:p>
    <w:p w14:paraId="2483F346" w14:textId="77777777" w:rsidR="003C3161" w:rsidRDefault="003C3161" w:rsidP="00456D90">
      <w:pPr>
        <w:pStyle w:val="Heading1"/>
        <w:ind w:left="0"/>
        <w:rPr>
          <w:color w:val="FFC000" w:themeColor="accent4"/>
        </w:rPr>
      </w:pPr>
    </w:p>
    <w:p w14:paraId="2CDDEAEA" w14:textId="77777777" w:rsidR="003C3161" w:rsidRDefault="003C3161" w:rsidP="00456D90">
      <w:pPr>
        <w:pStyle w:val="Heading1"/>
        <w:ind w:left="0"/>
        <w:rPr>
          <w:color w:val="FFC000" w:themeColor="accent4"/>
        </w:rPr>
      </w:pPr>
    </w:p>
    <w:p w14:paraId="7B05AE87" w14:textId="77777777" w:rsidR="003C3161" w:rsidRDefault="003C3161" w:rsidP="00456D90">
      <w:pPr>
        <w:pStyle w:val="Heading1"/>
        <w:ind w:left="0"/>
        <w:rPr>
          <w:color w:val="FFC000" w:themeColor="accent4"/>
        </w:rPr>
      </w:pPr>
    </w:p>
    <w:p w14:paraId="16E19C5A" w14:textId="77777777" w:rsidR="003C3161" w:rsidRDefault="003C3161" w:rsidP="00456D90">
      <w:pPr>
        <w:pStyle w:val="Heading1"/>
        <w:ind w:left="0"/>
        <w:rPr>
          <w:color w:val="FFC000" w:themeColor="accent4"/>
        </w:rPr>
      </w:pPr>
    </w:p>
    <w:p w14:paraId="167ACC67" w14:textId="77777777" w:rsidR="003C3161" w:rsidRDefault="003C3161" w:rsidP="00456D90">
      <w:pPr>
        <w:pStyle w:val="Heading1"/>
        <w:ind w:left="0"/>
        <w:rPr>
          <w:color w:val="FFC000" w:themeColor="accent4"/>
        </w:rPr>
      </w:pPr>
    </w:p>
    <w:p w14:paraId="42FB7A62" w14:textId="77777777" w:rsidR="003C3161" w:rsidRDefault="003C3161" w:rsidP="00456D90">
      <w:pPr>
        <w:pStyle w:val="Heading1"/>
        <w:ind w:left="0"/>
        <w:rPr>
          <w:color w:val="FFC000" w:themeColor="accent4"/>
        </w:rPr>
      </w:pPr>
    </w:p>
    <w:p w14:paraId="14846249" w14:textId="2EED6CA2" w:rsidR="00456D90" w:rsidRPr="00E22404" w:rsidRDefault="00456D90" w:rsidP="00456D90">
      <w:pPr>
        <w:pStyle w:val="Heading1"/>
        <w:ind w:left="0"/>
        <w:rPr>
          <w:color w:val="FFC000" w:themeColor="accent4"/>
        </w:rPr>
      </w:pPr>
      <w:r w:rsidRPr="00E22404">
        <w:rPr>
          <w:color w:val="FFC000" w:themeColor="accent4"/>
        </w:rPr>
        <w:t>Improvement to</w:t>
      </w:r>
      <w:r>
        <w:rPr>
          <w:color w:val="FFC000" w:themeColor="accent4"/>
        </w:rPr>
        <w:t xml:space="preserve"> the</w:t>
      </w:r>
      <w:r w:rsidRPr="00E22404">
        <w:rPr>
          <w:color w:val="FFC000" w:themeColor="accent4"/>
        </w:rPr>
        <w:t xml:space="preserve"> transport network </w:t>
      </w:r>
    </w:p>
    <w:tbl>
      <w:tblPr>
        <w:tblStyle w:val="GridTable4-Accent4"/>
        <w:tblW w:w="5000" w:type="pct"/>
        <w:tblLook w:val="04A0" w:firstRow="1" w:lastRow="0" w:firstColumn="1" w:lastColumn="0" w:noHBand="0" w:noVBand="1"/>
      </w:tblPr>
      <w:tblGrid>
        <w:gridCol w:w="7416"/>
        <w:gridCol w:w="3040"/>
      </w:tblGrid>
      <w:tr w:rsidR="00DE78F8" w:rsidRPr="00BA0BD0" w14:paraId="5D906F25" w14:textId="77777777" w:rsidTr="001B1D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4" w:type="pct"/>
          </w:tcPr>
          <w:p w14:paraId="35BB371A" w14:textId="77777777" w:rsidR="00DE78F8" w:rsidRDefault="00DE78F8" w:rsidP="00811884">
            <w:pPr>
              <w:keepNext/>
              <w:rPr>
                <w:noProof/>
                <w:lang w:eastAsia="en-NZ"/>
              </w:rPr>
            </w:pPr>
          </w:p>
        </w:tc>
        <w:tc>
          <w:tcPr>
            <w:tcW w:w="1586" w:type="pct"/>
          </w:tcPr>
          <w:p w14:paraId="6A3DBD34" w14:textId="77777777" w:rsidR="00DE78F8" w:rsidRPr="005D66F0" w:rsidRDefault="00DE78F8" w:rsidP="00811884">
            <w:pPr>
              <w:keepNext/>
              <w:jc w:val="center"/>
              <w:cnfStyle w:val="100000000000" w:firstRow="1" w:lastRow="0" w:firstColumn="0" w:lastColumn="0" w:oddVBand="0" w:evenVBand="0" w:oddHBand="0" w:evenHBand="0" w:firstRowFirstColumn="0" w:firstRowLastColumn="0" w:lastRowFirstColumn="0" w:lastRowLastColumn="0"/>
              <w:rPr>
                <w:b w:val="0"/>
              </w:rPr>
            </w:pPr>
          </w:p>
        </w:tc>
      </w:tr>
      <w:tr w:rsidR="00DE78F8" w:rsidRPr="00BA0BD0" w14:paraId="7ACD92AF" w14:textId="77777777" w:rsidTr="00015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4" w:type="pct"/>
          </w:tcPr>
          <w:p w14:paraId="0904D6EE" w14:textId="25142C34" w:rsidR="00DE78F8" w:rsidRPr="00BA0BD0" w:rsidRDefault="00015417" w:rsidP="00811884">
            <w:pPr>
              <w:keepNext/>
            </w:pPr>
            <w:r>
              <w:rPr>
                <w:noProof/>
                <w:lang w:eastAsia="en-NZ"/>
              </w:rPr>
              <w:drawing>
                <wp:inline distT="0" distB="0" distL="0" distR="0" wp14:anchorId="11F0908C" wp14:editId="4AB511FB">
                  <wp:extent cx="4572000" cy="2743200"/>
                  <wp:effectExtent l="0" t="0" r="0" b="0"/>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1586" w:type="pct"/>
          </w:tcPr>
          <w:p w14:paraId="19B61EF0" w14:textId="0F94CD2D" w:rsidR="00DE78F8" w:rsidRPr="00BA0BD0" w:rsidRDefault="00015417" w:rsidP="003C3161">
            <w:pPr>
              <w:keepNext/>
              <w:cnfStyle w:val="000000100000" w:firstRow="0" w:lastRow="0" w:firstColumn="0" w:lastColumn="0" w:oddVBand="0" w:evenVBand="0" w:oddHBand="1" w:evenHBand="0" w:firstRowFirstColumn="0" w:firstRowLastColumn="0" w:lastRowFirstColumn="0" w:lastRowLastColumn="0"/>
            </w:pPr>
            <w:r>
              <w:t>Over the past two years, 119km of the state highway network has had speed limit changes to align with safe and appropriate speed</w:t>
            </w:r>
          </w:p>
        </w:tc>
      </w:tr>
      <w:tr w:rsidR="00DE78F8" w:rsidRPr="00E7532A" w14:paraId="12D8F058" w14:textId="77777777" w:rsidTr="001B1DA8">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0CECE" w:themeFill="background2" w:themeFillShade="E6"/>
          </w:tcPr>
          <w:p w14:paraId="3B8137F0" w14:textId="77777777" w:rsidR="00DE78F8" w:rsidRPr="00C62AA6" w:rsidRDefault="00DE78F8" w:rsidP="00811884">
            <w:pPr>
              <w:spacing w:before="120" w:after="120"/>
              <w:ind w:right="-28"/>
              <w:rPr>
                <w:rFonts w:asciiTheme="minorHAnsi" w:hAnsiTheme="minorHAnsi" w:cstheme="minorHAnsi"/>
                <w:b w:val="0"/>
                <w:bCs w:val="0"/>
                <w:sz w:val="16"/>
              </w:rPr>
            </w:pPr>
            <w:r w:rsidRPr="00C62AA6">
              <w:rPr>
                <w:rFonts w:asciiTheme="minorHAnsi" w:hAnsiTheme="minorHAnsi" w:cstheme="minorHAnsi"/>
                <w:i/>
                <w:sz w:val="16"/>
              </w:rPr>
              <w:t>Data source</w:t>
            </w:r>
            <w:r w:rsidRPr="00C62AA6">
              <w:rPr>
                <w:rFonts w:asciiTheme="minorHAnsi" w:hAnsiTheme="minorHAnsi" w:cstheme="minorHAnsi"/>
                <w:bCs w:val="0"/>
                <w:sz w:val="16"/>
              </w:rPr>
              <w:t>:</w:t>
            </w:r>
            <w:r w:rsidRPr="00C62AA6">
              <w:rPr>
                <w:rFonts w:asciiTheme="minorHAnsi" w:hAnsiTheme="minorHAnsi" w:cstheme="minorHAnsi"/>
                <w:b w:val="0"/>
                <w:bCs w:val="0"/>
                <w:sz w:val="16"/>
              </w:rPr>
              <w:t xml:space="preserve"> Waka Kotahi. </w:t>
            </w:r>
          </w:p>
          <w:p w14:paraId="674BCF79" w14:textId="314EF7B5" w:rsidR="00DE78F8" w:rsidRPr="00C62AA6" w:rsidRDefault="00DE78F8" w:rsidP="00811884">
            <w:pPr>
              <w:spacing w:before="120" w:after="120"/>
              <w:ind w:right="-28"/>
              <w:rPr>
                <w:rFonts w:asciiTheme="minorHAnsi" w:hAnsiTheme="minorHAnsi" w:cstheme="minorHAnsi"/>
                <w:b w:val="0"/>
                <w:bCs w:val="0"/>
                <w:sz w:val="16"/>
              </w:rPr>
            </w:pPr>
            <w:r w:rsidRPr="00C62AA6">
              <w:rPr>
                <w:rFonts w:asciiTheme="minorHAnsi" w:hAnsiTheme="minorHAnsi" w:cstheme="minorHAnsi"/>
                <w:b w:val="0"/>
                <w:bCs w:val="0"/>
                <w:sz w:val="16"/>
              </w:rPr>
              <w:t xml:space="preserve">This tracks the </w:t>
            </w:r>
            <w:r w:rsidR="00C0428A" w:rsidRPr="00C62AA6">
              <w:rPr>
                <w:rFonts w:asciiTheme="minorHAnsi" w:hAnsiTheme="minorHAnsi" w:cstheme="minorHAnsi"/>
                <w:b w:val="0"/>
                <w:bCs w:val="0"/>
                <w:sz w:val="16"/>
              </w:rPr>
              <w:t xml:space="preserve">length </w:t>
            </w:r>
            <w:r w:rsidRPr="00C62AA6">
              <w:rPr>
                <w:rFonts w:asciiTheme="minorHAnsi" w:hAnsiTheme="minorHAnsi" w:cstheme="minorHAnsi"/>
                <w:b w:val="0"/>
                <w:bCs w:val="0"/>
                <w:sz w:val="16"/>
              </w:rPr>
              <w:t xml:space="preserve">of the state highway network </w:t>
            </w:r>
            <w:r w:rsidR="00C0428A" w:rsidRPr="00C62AA6">
              <w:rPr>
                <w:rFonts w:asciiTheme="minorHAnsi" w:hAnsiTheme="minorHAnsi" w:cstheme="minorHAnsi"/>
                <w:b w:val="0"/>
                <w:bCs w:val="0"/>
                <w:sz w:val="16"/>
              </w:rPr>
              <w:t xml:space="preserve">(in kilometres) </w:t>
            </w:r>
            <w:r w:rsidRPr="00C62AA6">
              <w:rPr>
                <w:rFonts w:asciiTheme="minorHAnsi" w:hAnsiTheme="minorHAnsi" w:cstheme="minorHAnsi"/>
                <w:b w:val="0"/>
                <w:bCs w:val="0"/>
                <w:sz w:val="16"/>
              </w:rPr>
              <w:t xml:space="preserve">that has speed limit reductions completed to ensure travel speeds are safe at current or higher speed limits where appropriate. It does not include engineering interventions on road segments. </w:t>
            </w:r>
            <w:r w:rsidR="00C0428A" w:rsidRPr="00C62AA6">
              <w:rPr>
                <w:rFonts w:asciiTheme="minorHAnsi" w:hAnsiTheme="minorHAnsi" w:cstheme="minorHAnsi"/>
                <w:b w:val="0"/>
                <w:bCs w:val="0"/>
                <w:sz w:val="16"/>
              </w:rPr>
              <w:t>This means the actual length of the network modified to align with safe and appropriate speed is actually higher. The full qualifying list of improvements is being scoped for inclusion in this measure in the future.</w:t>
            </w:r>
          </w:p>
          <w:p w14:paraId="62633444" w14:textId="05DC925B" w:rsidR="00DE78F8" w:rsidRPr="000C0082" w:rsidRDefault="000C0082" w:rsidP="000C0082">
            <w:pPr>
              <w:rPr>
                <w:rFonts w:asciiTheme="minorHAnsi" w:hAnsiTheme="minorHAnsi" w:cstheme="minorHAnsi"/>
                <w:b w:val="0"/>
              </w:rPr>
            </w:pPr>
            <w:r w:rsidRPr="000C0082">
              <w:rPr>
                <w:rFonts w:asciiTheme="minorHAnsi" w:hAnsiTheme="minorHAnsi" w:cstheme="minorHAnsi"/>
                <w:b w:val="0"/>
                <w:sz w:val="16"/>
              </w:rPr>
              <w:t>Currently, sufficiently robust data remains unavailable to report on the length of local roads aligned with safe and appropriate speeds. Development of the National Speed Limit Register (also known as the Register of Land Transport Records) from which this data will be sourced is ongoing. The new Setting of Speed Limits Rule, which is currently being drafted, will ensure alignment of the Register with the setting of speed limits. The Register is scheduled to be operational in December 2021 when the new rule is expected to be signed by the Minister. Road controlling authorities will have until March 2022 to migrate their speed limit bylaw information into the Register. This means we will not be able to set a baseline for reporting until early 2022.</w:t>
            </w:r>
          </w:p>
        </w:tc>
      </w:tr>
    </w:tbl>
    <w:p w14:paraId="27891911" w14:textId="77777777" w:rsidR="002174EF" w:rsidRDefault="002174EF" w:rsidP="002174EF"/>
    <w:p w14:paraId="51936463" w14:textId="77777777" w:rsidR="002174EF" w:rsidRDefault="002174EF" w:rsidP="002174EF">
      <w:pPr>
        <w:pStyle w:val="Heading1"/>
        <w:spacing w:before="120" w:after="120"/>
        <w:ind w:left="0" w:right="-28"/>
        <w:rPr>
          <w:color w:val="FFC000" w:themeColor="accent4"/>
        </w:rPr>
      </w:pPr>
      <w:r w:rsidRPr="00E22404">
        <w:rPr>
          <w:color w:val="FFC000" w:themeColor="accent4"/>
        </w:rPr>
        <w:t>ROAD POLICING</w:t>
      </w:r>
    </w:p>
    <w:p w14:paraId="1E7F012F" w14:textId="77777777" w:rsidR="002174EF" w:rsidRDefault="002174EF" w:rsidP="002174EF">
      <w:pPr>
        <w:rPr>
          <w:b/>
        </w:rPr>
      </w:pPr>
      <w:r>
        <w:rPr>
          <w:b/>
        </w:rPr>
        <w:t>Summary of results</w:t>
      </w:r>
    </w:p>
    <w:p w14:paraId="478AD1DD" w14:textId="17E1104F" w:rsidR="00DB6A87" w:rsidRDefault="00DD4CD6" w:rsidP="00DB6A87">
      <w:r>
        <w:t>T</w:t>
      </w:r>
      <w:r w:rsidR="00DB6A87">
        <w:t xml:space="preserve">he recent approval of the 2019-21 Road Safety Partnership Programme provides greater investment in road policing. </w:t>
      </w:r>
      <w:r w:rsidR="006107BC">
        <w:t>T</w:t>
      </w:r>
      <w:r w:rsidR="00DB6A87">
        <w:t>he number of dedicated road policing staff steadily increase</w:t>
      </w:r>
      <w:r w:rsidR="006107BC">
        <w:t>d</w:t>
      </w:r>
      <w:r w:rsidR="00DB6A87">
        <w:t xml:space="preserve"> over the past 5 years. In 2019/20, there were 1067 dedicated road policing staff, which is just 3 short of the target. </w:t>
      </w:r>
    </w:p>
    <w:p w14:paraId="00FC4788" w14:textId="57BA82F3" w:rsidR="00FC5627" w:rsidRPr="001772B0" w:rsidRDefault="00DB6A87" w:rsidP="00DB6A87">
      <w:r>
        <w:t>Although investment and the number of dedicated road polic</w:t>
      </w:r>
      <w:r w:rsidR="00473F50">
        <w:t>ing</w:t>
      </w:r>
      <w:r>
        <w:t xml:space="preserve"> staff have increased, the impact of COVID-19 has put a strain on the Police’s ability to deliver on key priorities of restraints, impairment, distraction and speed, as outlined in the Road to Zero Action Plan. For more about this, refer to the Road to Zero </w:t>
      </w:r>
      <w:r w:rsidR="00DD4CD6">
        <w:t xml:space="preserve">Annual </w:t>
      </w:r>
      <w:r>
        <w:t>Monitoring Report</w:t>
      </w:r>
      <w:r w:rsidR="00DD4CD6">
        <w:t xml:space="preserve"> 2020</w:t>
      </w:r>
      <w:r>
        <w:t>.</w:t>
      </w:r>
    </w:p>
    <w:p w14:paraId="7F35FAFB" w14:textId="3114B71F" w:rsidR="002174EF" w:rsidRDefault="002174EF" w:rsidP="002174EF">
      <w:pPr>
        <w:pStyle w:val="Heading1"/>
        <w:spacing w:before="120" w:after="120"/>
        <w:ind w:left="0" w:right="-28"/>
        <w:rPr>
          <w:rFonts w:ascii="Arial" w:eastAsia="Arial" w:hAnsi="Arial" w:cs="Arial"/>
          <w:color w:val="FFFFFF" w:themeColor="background1"/>
          <w:sz w:val="22"/>
          <w:szCs w:val="22"/>
        </w:rPr>
      </w:pPr>
      <w:bookmarkStart w:id="6" w:name="Investment_and_staffing"/>
      <w:bookmarkEnd w:id="6"/>
    </w:p>
    <w:p w14:paraId="02C1FDA0" w14:textId="29DB50F2" w:rsidR="007D7E9C" w:rsidRDefault="007D7E9C" w:rsidP="002174EF">
      <w:pPr>
        <w:pStyle w:val="Heading1"/>
        <w:spacing w:before="120" w:after="120"/>
        <w:ind w:left="0" w:right="-28"/>
        <w:rPr>
          <w:rFonts w:ascii="Arial" w:eastAsia="Arial" w:hAnsi="Arial" w:cs="Arial"/>
          <w:color w:val="FFFFFF" w:themeColor="background1"/>
          <w:sz w:val="22"/>
          <w:szCs w:val="22"/>
        </w:rPr>
      </w:pPr>
    </w:p>
    <w:p w14:paraId="5DBD2429" w14:textId="3476ED2D" w:rsidR="007D7E9C" w:rsidRDefault="007D7E9C" w:rsidP="002174EF">
      <w:pPr>
        <w:pStyle w:val="Heading1"/>
        <w:spacing w:before="120" w:after="120"/>
        <w:ind w:left="0" w:right="-28"/>
        <w:rPr>
          <w:rFonts w:ascii="Arial" w:eastAsia="Arial" w:hAnsi="Arial" w:cs="Arial"/>
          <w:color w:val="FFFFFF" w:themeColor="background1"/>
          <w:sz w:val="22"/>
          <w:szCs w:val="22"/>
        </w:rPr>
      </w:pPr>
    </w:p>
    <w:p w14:paraId="51759E01" w14:textId="44C0D6C9" w:rsidR="007D7E9C" w:rsidRDefault="007D7E9C" w:rsidP="002174EF">
      <w:pPr>
        <w:pStyle w:val="Heading1"/>
        <w:spacing w:before="120" w:after="120"/>
        <w:ind w:left="0" w:right="-28"/>
        <w:rPr>
          <w:rFonts w:ascii="Arial" w:eastAsia="Arial" w:hAnsi="Arial" w:cs="Arial"/>
          <w:color w:val="FFFFFF" w:themeColor="background1"/>
          <w:sz w:val="22"/>
          <w:szCs w:val="22"/>
        </w:rPr>
      </w:pPr>
    </w:p>
    <w:p w14:paraId="34FCC40C" w14:textId="3562A779" w:rsidR="007D7E9C" w:rsidRDefault="007D7E9C" w:rsidP="002174EF">
      <w:pPr>
        <w:pStyle w:val="Heading1"/>
        <w:spacing w:before="120" w:after="120"/>
        <w:ind w:left="0" w:right="-28"/>
        <w:rPr>
          <w:rFonts w:ascii="Arial" w:eastAsia="Arial" w:hAnsi="Arial" w:cs="Arial"/>
          <w:color w:val="FFFFFF" w:themeColor="background1"/>
          <w:sz w:val="22"/>
          <w:szCs w:val="22"/>
        </w:rPr>
      </w:pPr>
    </w:p>
    <w:p w14:paraId="24BF9ABC" w14:textId="2C630CAC" w:rsidR="007D7E9C" w:rsidRDefault="007D7E9C" w:rsidP="002174EF">
      <w:pPr>
        <w:pStyle w:val="Heading1"/>
        <w:spacing w:before="120" w:after="120"/>
        <w:ind w:left="0" w:right="-28"/>
        <w:rPr>
          <w:rFonts w:ascii="Arial" w:eastAsia="Arial" w:hAnsi="Arial" w:cs="Arial"/>
          <w:color w:val="FFFFFF" w:themeColor="background1"/>
          <w:sz w:val="22"/>
          <w:szCs w:val="22"/>
        </w:rPr>
      </w:pPr>
    </w:p>
    <w:p w14:paraId="6EE9DE20" w14:textId="59397843" w:rsidR="007D7E9C" w:rsidRDefault="007D7E9C" w:rsidP="002174EF">
      <w:pPr>
        <w:pStyle w:val="Heading1"/>
        <w:spacing w:before="120" w:after="120"/>
        <w:ind w:left="0" w:right="-28"/>
        <w:rPr>
          <w:rFonts w:ascii="Arial" w:eastAsia="Arial" w:hAnsi="Arial" w:cs="Arial"/>
          <w:color w:val="FFFFFF" w:themeColor="background1"/>
          <w:sz w:val="22"/>
          <w:szCs w:val="22"/>
        </w:rPr>
      </w:pPr>
    </w:p>
    <w:p w14:paraId="0CC775F7" w14:textId="38E0E262" w:rsidR="007D7E9C" w:rsidRDefault="007D7E9C" w:rsidP="002174EF">
      <w:pPr>
        <w:pStyle w:val="Heading1"/>
        <w:spacing w:before="120" w:after="120"/>
        <w:ind w:left="0" w:right="-28"/>
        <w:rPr>
          <w:rFonts w:ascii="Arial" w:eastAsia="Arial" w:hAnsi="Arial" w:cs="Arial"/>
          <w:color w:val="FFFFFF" w:themeColor="background1"/>
          <w:sz w:val="22"/>
          <w:szCs w:val="22"/>
        </w:rPr>
      </w:pPr>
    </w:p>
    <w:p w14:paraId="265990EF" w14:textId="77777777" w:rsidR="007D7E9C" w:rsidRPr="00B61D76" w:rsidRDefault="007D7E9C" w:rsidP="002174EF">
      <w:pPr>
        <w:pStyle w:val="Heading1"/>
        <w:spacing w:before="120" w:after="120"/>
        <w:ind w:left="0" w:right="-28"/>
        <w:rPr>
          <w:rFonts w:ascii="Arial" w:eastAsia="Arial" w:hAnsi="Arial" w:cs="Arial"/>
          <w:color w:val="FFFFFF" w:themeColor="background1"/>
          <w:sz w:val="22"/>
          <w:szCs w:val="22"/>
        </w:rPr>
      </w:pPr>
    </w:p>
    <w:p w14:paraId="54EA7587" w14:textId="77777777" w:rsidR="002174EF" w:rsidRPr="00B61D76" w:rsidRDefault="002174EF" w:rsidP="002174EF">
      <w:pPr>
        <w:pStyle w:val="Heading1"/>
        <w:spacing w:before="120" w:after="120"/>
        <w:ind w:left="0" w:right="-28"/>
        <w:rPr>
          <w:rStyle w:val="Strong"/>
          <w:rFonts w:ascii="Arial" w:eastAsia="Arial" w:hAnsi="Arial" w:cs="Arial"/>
          <w:b/>
          <w:bCs/>
          <w:color w:val="FFFFFF" w:themeColor="background1"/>
          <w:sz w:val="22"/>
          <w:szCs w:val="22"/>
        </w:rPr>
      </w:pPr>
      <w:r w:rsidRPr="00B61D76">
        <w:rPr>
          <w:rFonts w:ascii="Arial" w:eastAsia="Arial" w:hAnsi="Arial" w:cs="Arial"/>
          <w:color w:val="FFFFFF" w:themeColor="background1"/>
          <w:sz w:val="22"/>
          <w:szCs w:val="22"/>
        </w:rPr>
        <w:t xml:space="preserve">5E: Investment in promotion of road safety and demand management </w:t>
      </w:r>
    </w:p>
    <w:tbl>
      <w:tblPr>
        <w:tblStyle w:val="GridTable4-Accent4"/>
        <w:tblW w:w="5000" w:type="pct"/>
        <w:tblLook w:val="04A0" w:firstRow="1" w:lastRow="0" w:firstColumn="1" w:lastColumn="0" w:noHBand="0" w:noVBand="1"/>
      </w:tblPr>
      <w:tblGrid>
        <w:gridCol w:w="8704"/>
        <w:gridCol w:w="1752"/>
      </w:tblGrid>
      <w:tr w:rsidR="00AA41EB" w14:paraId="1517DB0E" w14:textId="77777777" w:rsidTr="00AA41EB">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162" w:type="pct"/>
          </w:tcPr>
          <w:p w14:paraId="41ABB01B" w14:textId="77777777" w:rsidR="00AA41EB" w:rsidRPr="00C20445" w:rsidRDefault="00AA41EB" w:rsidP="00811884">
            <w:pPr>
              <w:rPr>
                <w:noProof/>
                <w:lang w:eastAsia="en-NZ"/>
              </w:rPr>
            </w:pPr>
            <w:r w:rsidRPr="00C20445">
              <w:rPr>
                <w:noProof/>
                <w:lang w:eastAsia="en-NZ"/>
              </w:rPr>
              <w:lastRenderedPageBreak/>
              <w:t xml:space="preserve">Findings </w:t>
            </w:r>
          </w:p>
        </w:tc>
        <w:tc>
          <w:tcPr>
            <w:tcW w:w="838" w:type="pct"/>
          </w:tcPr>
          <w:p w14:paraId="728FE382" w14:textId="77777777" w:rsidR="00AA41EB" w:rsidRDefault="00AA41EB" w:rsidP="00811884">
            <w:pPr>
              <w:jc w:val="center"/>
              <w:cnfStyle w:val="100000000000" w:firstRow="1" w:lastRow="0" w:firstColumn="0" w:lastColumn="0" w:oddVBand="0" w:evenVBand="0" w:oddHBand="0" w:evenHBand="0" w:firstRowFirstColumn="0" w:firstRowLastColumn="0" w:lastRowFirstColumn="0" w:lastRowLastColumn="0"/>
            </w:pPr>
          </w:p>
        </w:tc>
      </w:tr>
      <w:tr w:rsidR="00AA41EB" w14:paraId="3F715194" w14:textId="77777777" w:rsidTr="00AA41EB">
        <w:trPr>
          <w:cnfStyle w:val="000000100000" w:firstRow="0" w:lastRow="0" w:firstColumn="0" w:lastColumn="0" w:oddVBand="0" w:evenVBand="0" w:oddHBand="1" w:evenHBand="0" w:firstRowFirstColumn="0" w:firstRowLastColumn="0" w:lastRowFirstColumn="0" w:lastRowLastColumn="0"/>
          <w:trHeight w:val="4435"/>
        </w:trPr>
        <w:tc>
          <w:tcPr>
            <w:cnfStyle w:val="001000000000" w:firstRow="0" w:lastRow="0" w:firstColumn="1" w:lastColumn="0" w:oddVBand="0" w:evenVBand="0" w:oddHBand="0" w:evenHBand="0" w:firstRowFirstColumn="0" w:firstRowLastColumn="0" w:lastRowFirstColumn="0" w:lastRowLastColumn="0"/>
            <w:tcW w:w="4162" w:type="pct"/>
          </w:tcPr>
          <w:p w14:paraId="4F3B600F" w14:textId="77777777" w:rsidR="00AA41EB" w:rsidRDefault="00AA41EB" w:rsidP="00811884">
            <w:pPr>
              <w:rPr>
                <w:rStyle w:val="Strong"/>
                <w:rFonts w:eastAsiaTheme="majorEastAsia"/>
                <w:bCs/>
                <w:color w:val="5B9BD5" w:themeColor="accent1"/>
                <w:sz w:val="32"/>
                <w:szCs w:val="32"/>
              </w:rPr>
            </w:pPr>
            <w:r>
              <w:rPr>
                <w:noProof/>
                <w:lang w:eastAsia="en-NZ"/>
              </w:rPr>
              <w:drawing>
                <wp:inline distT="0" distB="0" distL="0" distR="0" wp14:anchorId="522B97A3" wp14:editId="1C7205E4">
                  <wp:extent cx="5097643" cy="2743200"/>
                  <wp:effectExtent l="0" t="0" r="8255" b="0"/>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838" w:type="pct"/>
          </w:tcPr>
          <w:p w14:paraId="33E0ED3A" w14:textId="77777777" w:rsidR="00AA41EB" w:rsidRPr="00C347AE" w:rsidRDefault="00AA41EB" w:rsidP="003C3161">
            <w:pPr>
              <w:cnfStyle w:val="000000100000" w:firstRow="0" w:lastRow="0" w:firstColumn="0" w:lastColumn="0" w:oddVBand="0" w:evenVBand="0" w:oddHBand="1" w:evenHBand="0" w:firstRowFirstColumn="0" w:firstRowLastColumn="0" w:lastRowFirstColumn="0" w:lastRowLastColumn="0"/>
            </w:pPr>
            <w:r>
              <w:t>The number of dedicated road policing staff over the past 5 years has remained relatively steady with exception to 2016/17 which saw a 10% decline compared to other years.</w:t>
            </w:r>
          </w:p>
          <w:p w14:paraId="56F99260" w14:textId="77777777" w:rsidR="00AA41EB" w:rsidRDefault="00AA41EB" w:rsidP="00811884">
            <w:pPr>
              <w:jc w:val="center"/>
              <w:cnfStyle w:val="000000100000" w:firstRow="0" w:lastRow="0" w:firstColumn="0" w:lastColumn="0" w:oddVBand="0" w:evenVBand="0" w:oddHBand="1" w:evenHBand="0" w:firstRowFirstColumn="0" w:firstRowLastColumn="0" w:lastRowFirstColumn="0" w:lastRowLastColumn="0"/>
              <w:rPr>
                <w:rStyle w:val="Strong"/>
                <w:rFonts w:eastAsiaTheme="majorEastAsia"/>
                <w:bCs w:val="0"/>
                <w:color w:val="5B9BD5" w:themeColor="accent1"/>
                <w:sz w:val="32"/>
                <w:szCs w:val="32"/>
              </w:rPr>
            </w:pPr>
          </w:p>
        </w:tc>
      </w:tr>
      <w:tr w:rsidR="00AA41EB" w14:paraId="126527B5" w14:textId="77777777" w:rsidTr="00AA41EB">
        <w:trPr>
          <w:trHeight w:val="794"/>
        </w:trPr>
        <w:tc>
          <w:tcPr>
            <w:cnfStyle w:val="001000000000" w:firstRow="0" w:lastRow="0" w:firstColumn="1" w:lastColumn="0" w:oddVBand="0" w:evenVBand="0" w:oddHBand="0" w:evenHBand="0" w:firstRowFirstColumn="0" w:firstRowLastColumn="0" w:lastRowFirstColumn="0" w:lastRowLastColumn="0"/>
            <w:tcW w:w="5000" w:type="pct"/>
            <w:gridSpan w:val="2"/>
          </w:tcPr>
          <w:p w14:paraId="79537966" w14:textId="77777777" w:rsidR="00AA41EB" w:rsidRPr="00AA41EB" w:rsidRDefault="00AA41EB" w:rsidP="00811884">
            <w:pPr>
              <w:rPr>
                <w:b w:val="0"/>
                <w:sz w:val="20"/>
              </w:rPr>
            </w:pPr>
            <w:r w:rsidRPr="00AA41EB">
              <w:rPr>
                <w:b w:val="0"/>
                <w:sz w:val="20"/>
              </w:rPr>
              <w:t>Dedicated road policing staff refers to the constabulary and authorised officers at Districts and those at Police National Headquarters. Number of dedicated staff reflects the actual full-time equivalent values as of 30 June each year.</w:t>
            </w:r>
          </w:p>
        </w:tc>
      </w:tr>
      <w:tr w:rsidR="00AA41EB" w14:paraId="2F0389A4" w14:textId="77777777" w:rsidTr="00AA4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2" w:type="pct"/>
          </w:tcPr>
          <w:p w14:paraId="4DB102BA" w14:textId="77777777" w:rsidR="00AA41EB" w:rsidRPr="00C347AE" w:rsidRDefault="00AA41EB" w:rsidP="00811884">
            <w:r>
              <w:rPr>
                <w:noProof/>
                <w:lang w:eastAsia="en-NZ"/>
              </w:rPr>
              <w:drawing>
                <wp:inline distT="0" distB="0" distL="0" distR="0" wp14:anchorId="5A96533E" wp14:editId="54044C43">
                  <wp:extent cx="5097145" cy="2736850"/>
                  <wp:effectExtent l="0" t="0" r="8255" b="635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838" w:type="pct"/>
          </w:tcPr>
          <w:p w14:paraId="1AC26759" w14:textId="77777777" w:rsidR="00AA41EB" w:rsidRPr="001B4025" w:rsidRDefault="00AA41EB" w:rsidP="003C3161">
            <w:pPr>
              <w:cnfStyle w:val="000000100000" w:firstRow="0" w:lastRow="0" w:firstColumn="0" w:lastColumn="0" w:oddVBand="0" w:evenVBand="0" w:oddHBand="1" w:evenHBand="0" w:firstRowFirstColumn="0" w:firstRowLastColumn="0" w:lastRowFirstColumn="0" w:lastRowLastColumn="0"/>
            </w:pPr>
            <w:r>
              <w:t>Warrant of Fitness and Certificate of Fitness and Vehicle Licensing infringements are most frequently waived compared to other forms of violations.</w:t>
            </w:r>
          </w:p>
        </w:tc>
      </w:tr>
      <w:tr w:rsidR="00AA41EB" w:rsidRPr="001B4025" w14:paraId="3EB01402" w14:textId="77777777" w:rsidTr="00AA41EB">
        <w:tc>
          <w:tcPr>
            <w:cnfStyle w:val="001000000000" w:firstRow="0" w:lastRow="0" w:firstColumn="1" w:lastColumn="0" w:oddVBand="0" w:evenVBand="0" w:oddHBand="0" w:evenHBand="0" w:firstRowFirstColumn="0" w:firstRowLastColumn="0" w:lastRowFirstColumn="0" w:lastRowLastColumn="0"/>
            <w:tcW w:w="5000" w:type="pct"/>
            <w:gridSpan w:val="2"/>
          </w:tcPr>
          <w:p w14:paraId="35C416EB" w14:textId="77777777" w:rsidR="00AA41EB" w:rsidRPr="00AA41EB" w:rsidRDefault="00AA41EB" w:rsidP="00811884">
            <w:pPr>
              <w:rPr>
                <w:rStyle w:val="Strong"/>
                <w:rFonts w:eastAsiaTheme="majorEastAsia"/>
                <w:bCs/>
                <w:color w:val="5B9BD5" w:themeColor="accent1"/>
                <w:sz w:val="20"/>
                <w:szCs w:val="32"/>
              </w:rPr>
            </w:pPr>
            <w:r w:rsidRPr="00AA41EB">
              <w:rPr>
                <w:rStyle w:val="Strong"/>
                <w:sz w:val="20"/>
              </w:rPr>
              <w:t xml:space="preserve">Police supported resolutions refers to infringements waived through the Police compliance process. Infringements are only waived if the issue leading to the infringement has been resolved to Police satisfaction. It is included here as a measure of effective Police enforcement as it requires a behavioural change before an infringement is waived. </w:t>
            </w:r>
          </w:p>
        </w:tc>
      </w:tr>
    </w:tbl>
    <w:p w14:paraId="03FC5404" w14:textId="77777777" w:rsidR="002174EF" w:rsidRPr="00BA0BD0" w:rsidRDefault="002174EF" w:rsidP="002174EF">
      <w:pPr>
        <w:rPr>
          <w:b/>
        </w:rPr>
      </w:pPr>
    </w:p>
    <w:tbl>
      <w:tblPr>
        <w:tblpPr w:leftFromText="180" w:rightFromText="180" w:vertAnchor="text" w:horzAnchor="margin" w:tblpY="171"/>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75"/>
      </w:tblGrid>
      <w:tr w:rsidR="002174EF" w:rsidRPr="00BA0BD0" w14:paraId="5E254B66" w14:textId="77777777" w:rsidTr="008730FA">
        <w:trPr>
          <w:trHeight w:val="558"/>
        </w:trPr>
        <w:tc>
          <w:tcPr>
            <w:tcW w:w="10375" w:type="dxa"/>
            <w:shd w:val="clear" w:color="auto" w:fill="D0CECE" w:themeFill="background2" w:themeFillShade="E6"/>
          </w:tcPr>
          <w:p w14:paraId="022FD547" w14:textId="77777777" w:rsidR="002174EF" w:rsidRPr="00B40F9F" w:rsidRDefault="002174EF" w:rsidP="00811884">
            <w:pPr>
              <w:keepNext/>
              <w:spacing w:after="0"/>
              <w:ind w:left="68"/>
              <w:rPr>
                <w:rFonts w:asciiTheme="minorHAnsi" w:hAnsiTheme="minorHAnsi" w:cstheme="minorHAnsi"/>
                <w:b/>
                <w:color w:val="000000" w:themeColor="text1"/>
                <w:sz w:val="16"/>
              </w:rPr>
            </w:pPr>
            <w:r w:rsidRPr="00B40F9F">
              <w:rPr>
                <w:rFonts w:asciiTheme="minorHAnsi" w:hAnsiTheme="minorHAnsi" w:cstheme="minorHAnsi"/>
                <w:b/>
                <w:color w:val="000000" w:themeColor="text1"/>
                <w:sz w:val="16"/>
              </w:rPr>
              <w:t>About these indicators</w:t>
            </w:r>
          </w:p>
          <w:p w14:paraId="0015C4A3" w14:textId="77777777" w:rsidR="002174EF" w:rsidRPr="006840A6" w:rsidRDefault="002174EF" w:rsidP="00811884">
            <w:pPr>
              <w:pStyle w:val="ListParagraph"/>
              <w:numPr>
                <w:ilvl w:val="0"/>
                <w:numId w:val="1"/>
              </w:numPr>
              <w:ind w:left="806"/>
            </w:pPr>
            <w:r w:rsidRPr="00B40F9F">
              <w:rPr>
                <w:rFonts w:asciiTheme="minorHAnsi" w:hAnsiTheme="minorHAnsi" w:cstheme="minorHAnsi"/>
                <w:sz w:val="16"/>
              </w:rPr>
              <w:t>Data on dedicated road policing staff and police supported resolutions were provided by NZ Police</w:t>
            </w:r>
            <w:r w:rsidRPr="008730FA">
              <w:rPr>
                <w:sz w:val="18"/>
              </w:rPr>
              <w:t xml:space="preserve">. </w:t>
            </w:r>
          </w:p>
        </w:tc>
      </w:tr>
    </w:tbl>
    <w:p w14:paraId="57CA8301" w14:textId="77777777" w:rsidR="002174EF" w:rsidRDefault="002174EF" w:rsidP="002174EF">
      <w:pPr>
        <w:pStyle w:val="Heading2"/>
        <w:rPr>
          <w:rFonts w:ascii="Arial" w:hAnsi="Arial" w:cs="Arial"/>
          <w:color w:val="000000" w:themeColor="text1"/>
          <w:sz w:val="22"/>
          <w:szCs w:val="22"/>
        </w:rPr>
      </w:pPr>
    </w:p>
    <w:p w14:paraId="0F10AF68" w14:textId="77777777" w:rsidR="001772B0" w:rsidRPr="00E22404" w:rsidRDefault="001772B0" w:rsidP="001772B0">
      <w:pPr>
        <w:pStyle w:val="Heading1"/>
        <w:ind w:left="0"/>
        <w:rPr>
          <w:color w:val="FFC000" w:themeColor="accent4"/>
        </w:rPr>
      </w:pPr>
      <w:r w:rsidRPr="00E22404">
        <w:rPr>
          <w:color w:val="FFC000" w:themeColor="accent4"/>
        </w:rPr>
        <w:t xml:space="preserve">Safer road use through appropriate education and promotion activities, and regulatory changes </w:t>
      </w:r>
    </w:p>
    <w:p w14:paraId="0E25EDCB" w14:textId="77777777" w:rsidR="008730FA" w:rsidRDefault="008730FA" w:rsidP="001772B0">
      <w:pPr>
        <w:rPr>
          <w:b/>
        </w:rPr>
      </w:pPr>
    </w:p>
    <w:p w14:paraId="60204362" w14:textId="77777777" w:rsidR="00CC4CBF" w:rsidRDefault="00CC4CBF" w:rsidP="001772B0">
      <w:pPr>
        <w:rPr>
          <w:b/>
        </w:rPr>
      </w:pPr>
      <w:r>
        <w:rPr>
          <w:b/>
        </w:rPr>
        <w:t xml:space="preserve">Summary of results </w:t>
      </w:r>
    </w:p>
    <w:p w14:paraId="15971941" w14:textId="77777777" w:rsidR="00AB3D14" w:rsidRDefault="00AB3D14" w:rsidP="00AB3D14">
      <w:r>
        <w:t xml:space="preserve">To encourage people to get behind the Road to Zero strategy and support actions making roads in their communities safer, Waka Kotahi is leading the development of an engagement and communications package to improve public understand and acceptance of Road to Zero principles. This will include </w:t>
      </w:r>
      <w:r>
        <w:lastRenderedPageBreak/>
        <w:t xml:space="preserve">increasing public understanding of the safe system approach to reducing deaths and serious injuries on the road, building on and supporting existing advertising and behavioural change programmes. </w:t>
      </w:r>
    </w:p>
    <w:p w14:paraId="543B8EA1" w14:textId="6A0F3220" w:rsidR="001772B0" w:rsidRPr="001772B0" w:rsidRDefault="00AB3D14" w:rsidP="001772B0">
      <w:r>
        <w:t xml:space="preserve">Several regulatory interventions were also made over this same period, with Cabinet agreeing to the Tackling Unsafe Speeds package and the passing of the Land Transport (NZTA) Legislation Amendment Bill. This Bill contains enabling provisions for the Setting of Speed Limits Rule (currently under development), which together will bring the new speed management framework into effect. Rule changes mandating anti-lock braking systems for motorcycles were also implemented. </w:t>
      </w:r>
    </w:p>
    <w:p w14:paraId="0BDB9D85" w14:textId="77777777" w:rsidR="00144609" w:rsidRPr="00E22404" w:rsidRDefault="00CC0E51" w:rsidP="004A0965">
      <w:pPr>
        <w:pStyle w:val="Heading1"/>
        <w:ind w:left="0"/>
        <w:rPr>
          <w:color w:val="FFC000" w:themeColor="accent4"/>
        </w:rPr>
      </w:pPr>
      <w:r w:rsidRPr="00E22404">
        <w:rPr>
          <w:color w:val="FFC000" w:themeColor="accent4"/>
        </w:rPr>
        <w:t xml:space="preserve">Driver behaviour </w:t>
      </w:r>
    </w:p>
    <w:tbl>
      <w:tblPr>
        <w:tblStyle w:val="GridTable4-Accent4"/>
        <w:tblW w:w="10485" w:type="dxa"/>
        <w:tblLook w:val="04A0" w:firstRow="1" w:lastRow="0" w:firstColumn="1" w:lastColumn="0" w:noHBand="0" w:noVBand="1"/>
      </w:tblPr>
      <w:tblGrid>
        <w:gridCol w:w="6756"/>
        <w:gridCol w:w="3729"/>
      </w:tblGrid>
      <w:tr w:rsidR="00861914" w:rsidRPr="00BA0BD0" w14:paraId="43EBD0EE" w14:textId="77777777" w:rsidTr="00245C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6" w:type="dxa"/>
          </w:tcPr>
          <w:p w14:paraId="0336A16E" w14:textId="77777777" w:rsidR="00861914" w:rsidRPr="00B61D76" w:rsidRDefault="00861914" w:rsidP="00BC2502">
            <w:pPr>
              <w:rPr>
                <w:noProof/>
                <w:lang w:eastAsia="en-NZ"/>
              </w:rPr>
            </w:pPr>
            <w:r w:rsidRPr="00B61D76">
              <w:rPr>
                <w:noProof/>
                <w:lang w:eastAsia="en-NZ"/>
              </w:rPr>
              <w:t xml:space="preserve">Findings </w:t>
            </w:r>
          </w:p>
        </w:tc>
        <w:tc>
          <w:tcPr>
            <w:tcW w:w="3729" w:type="dxa"/>
          </w:tcPr>
          <w:p w14:paraId="61DBAF95" w14:textId="77777777" w:rsidR="00861914" w:rsidRPr="00BA0BD0" w:rsidRDefault="00861914" w:rsidP="00BC2502">
            <w:pPr>
              <w:jc w:val="center"/>
              <w:cnfStyle w:val="100000000000" w:firstRow="1" w:lastRow="0" w:firstColumn="0" w:lastColumn="0" w:oddVBand="0" w:evenVBand="0" w:oddHBand="0" w:evenHBand="0" w:firstRowFirstColumn="0" w:firstRowLastColumn="0" w:lastRowFirstColumn="0" w:lastRowLastColumn="0"/>
              <w:rPr>
                <w:bCs w:val="0"/>
              </w:rPr>
            </w:pPr>
          </w:p>
        </w:tc>
      </w:tr>
      <w:tr w:rsidR="00861914" w:rsidRPr="00BA0BD0" w14:paraId="01E17812" w14:textId="77777777" w:rsidTr="00245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6" w:type="dxa"/>
          </w:tcPr>
          <w:p w14:paraId="48BB1739" w14:textId="77777777" w:rsidR="00861914" w:rsidRPr="004365B9" w:rsidRDefault="00861914" w:rsidP="00CB30E5">
            <w:r>
              <w:rPr>
                <w:noProof/>
                <w:lang w:eastAsia="en-NZ"/>
              </w:rPr>
              <w:drawing>
                <wp:inline distT="0" distB="0" distL="0" distR="0" wp14:anchorId="22D7B459" wp14:editId="482E7959">
                  <wp:extent cx="4134872" cy="2780030"/>
                  <wp:effectExtent l="0" t="0" r="18415" b="127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3729" w:type="dxa"/>
          </w:tcPr>
          <w:p w14:paraId="4C76BA9A" w14:textId="748A054D" w:rsidR="00861914" w:rsidRPr="00BA0BD0" w:rsidRDefault="00861914" w:rsidP="003C3161">
            <w:pPr>
              <w:cnfStyle w:val="000000100000" w:firstRow="0" w:lastRow="0" w:firstColumn="0" w:lastColumn="0" w:oddVBand="0" w:evenVBand="0" w:oddHBand="1" w:evenHBand="0" w:firstRowFirstColumn="0" w:firstRowLastColumn="0" w:lastRowFirstColumn="0" w:lastRowLastColumn="0"/>
            </w:pPr>
            <w:r w:rsidRPr="00BA0BD0">
              <w:rPr>
                <w:bCs/>
              </w:rPr>
              <w:t>Speed</w:t>
            </w:r>
            <w:r>
              <w:rPr>
                <w:bCs/>
              </w:rPr>
              <w:t xml:space="preserve"> is consistently cited</w:t>
            </w:r>
            <w:r w:rsidR="00FA2025">
              <w:rPr>
                <w:bCs/>
              </w:rPr>
              <w:t xml:space="preserve"> as</w:t>
            </w:r>
            <w:r>
              <w:rPr>
                <w:bCs/>
              </w:rPr>
              <w:t xml:space="preserve"> the most likely contributo</w:t>
            </w:r>
            <w:r w:rsidR="003C3161">
              <w:rPr>
                <w:bCs/>
              </w:rPr>
              <w:t>r of</w:t>
            </w:r>
            <w:r w:rsidR="003C3161" w:rsidRPr="00BA0BD0">
              <w:rPr>
                <w:bCs/>
              </w:rPr>
              <w:t xml:space="preserve"> deat</w:t>
            </w:r>
            <w:r w:rsidR="003C3161">
              <w:rPr>
                <w:bCs/>
              </w:rPr>
              <w:t>hs</w:t>
            </w:r>
            <w:r w:rsidRPr="00BA0BD0">
              <w:rPr>
                <w:bCs/>
              </w:rPr>
              <w:t xml:space="preserve"> and serious injur</w:t>
            </w:r>
            <w:r w:rsidR="003C3161">
              <w:rPr>
                <w:bCs/>
              </w:rPr>
              <w:t xml:space="preserve">ies </w:t>
            </w:r>
          </w:p>
        </w:tc>
      </w:tr>
      <w:tr w:rsidR="00861914" w:rsidRPr="00BA0BD0" w14:paraId="72335215" w14:textId="77777777" w:rsidTr="00245C33">
        <w:tc>
          <w:tcPr>
            <w:cnfStyle w:val="001000000000" w:firstRow="0" w:lastRow="0" w:firstColumn="1" w:lastColumn="0" w:oddVBand="0" w:evenVBand="0" w:oddHBand="0" w:evenHBand="0" w:firstRowFirstColumn="0" w:firstRowLastColumn="0" w:lastRowFirstColumn="0" w:lastRowLastColumn="0"/>
            <w:tcW w:w="10485" w:type="dxa"/>
            <w:gridSpan w:val="2"/>
          </w:tcPr>
          <w:p w14:paraId="41C80103" w14:textId="77777777" w:rsidR="00861914" w:rsidRPr="00861914" w:rsidRDefault="00861914" w:rsidP="00861914">
            <w:pPr>
              <w:rPr>
                <w:rFonts w:asciiTheme="minorHAnsi" w:hAnsiTheme="minorHAnsi" w:cstheme="minorHAnsi"/>
                <w:b w:val="0"/>
                <w:sz w:val="18"/>
              </w:rPr>
            </w:pPr>
            <w:r w:rsidRPr="00861914">
              <w:rPr>
                <w:rFonts w:asciiTheme="minorHAnsi" w:hAnsiTheme="minorHAnsi" w:cstheme="minorHAnsi"/>
                <w:b w:val="0"/>
                <w:sz w:val="18"/>
              </w:rPr>
              <w:t>Data on 1) contributing factors to deaths and serious injuries crashes and 2) vehicle occupants deaths where restraint not worn, were extracted from the Crash Analysis System (CAS). Waka Kotahi is responsible for the administration of the CAS.</w:t>
            </w:r>
          </w:p>
          <w:p w14:paraId="30DBABF5" w14:textId="77777777" w:rsidR="00861914" w:rsidRPr="00861914" w:rsidRDefault="00861914" w:rsidP="00861914">
            <w:pPr>
              <w:rPr>
                <w:rFonts w:asciiTheme="minorHAnsi" w:hAnsiTheme="minorHAnsi" w:cstheme="minorHAnsi"/>
                <w:b w:val="0"/>
                <w:color w:val="000000"/>
                <w:sz w:val="18"/>
              </w:rPr>
            </w:pPr>
          </w:p>
          <w:p w14:paraId="766094A4" w14:textId="77777777" w:rsidR="00861914" w:rsidRPr="00861914" w:rsidRDefault="00861914" w:rsidP="00861914">
            <w:pPr>
              <w:rPr>
                <w:b w:val="0"/>
                <w:bCs w:val="0"/>
              </w:rPr>
            </w:pPr>
            <w:r w:rsidRPr="00861914">
              <w:rPr>
                <w:rFonts w:asciiTheme="minorHAnsi" w:hAnsiTheme="minorHAnsi" w:cstheme="minorHAnsi"/>
                <w:b w:val="0"/>
                <w:sz w:val="18"/>
              </w:rPr>
              <w:t>Note that these contributing factors are not mutually exclusive. On each crash report there may be several factors coded against each vehicle involved in the crash for driver or vehicle faults. In addition, there may be a number of factors coded on each report for faults of other road users, weather or other conditions. Prior to 2016, alcohol/drugs is listed as a factor when a driver’s blood or breath alcohol level is above the legal limit  if drugs are proved to be in the driver’s blood, or when the attending officer suspects that alcohol/drug consumption contributed to the crash. From 2016 officer suspicion is not included.</w:t>
            </w:r>
          </w:p>
        </w:tc>
      </w:tr>
      <w:tr w:rsidR="00861914" w:rsidRPr="00BA0BD0" w14:paraId="5B3BACDB" w14:textId="77777777" w:rsidTr="00245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6" w:type="dxa"/>
          </w:tcPr>
          <w:p w14:paraId="35E0EF3C" w14:textId="77777777" w:rsidR="00861914" w:rsidRPr="00BA0BD0" w:rsidRDefault="00861914" w:rsidP="00BC2502">
            <w:r>
              <w:rPr>
                <w:noProof/>
                <w:lang w:eastAsia="en-NZ"/>
              </w:rPr>
              <w:drawing>
                <wp:inline distT="0" distB="0" distL="0" distR="0" wp14:anchorId="39F21BF5" wp14:editId="18274A91">
                  <wp:extent cx="4139333" cy="2728595"/>
                  <wp:effectExtent l="0" t="0" r="13970" b="1460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3729" w:type="dxa"/>
          </w:tcPr>
          <w:p w14:paraId="1146912A" w14:textId="77777777" w:rsidR="00861914" w:rsidRPr="00BA0BD0" w:rsidRDefault="00861914" w:rsidP="003C3161">
            <w:pPr>
              <w:cnfStyle w:val="000000100000" w:firstRow="0" w:lastRow="0" w:firstColumn="0" w:lastColumn="0" w:oddVBand="0" w:evenVBand="0" w:oddHBand="1" w:evenHBand="0" w:firstRowFirstColumn="0" w:firstRowLastColumn="0" w:lastRowFirstColumn="0" w:lastRowLastColumn="0"/>
            </w:pPr>
            <w:r w:rsidRPr="00BA0BD0">
              <w:t xml:space="preserve">In 2019/20 85 deaths were attributable to lack of safety restraint. This is a 3% decrease from the previous year (2018/19) </w:t>
            </w:r>
          </w:p>
        </w:tc>
      </w:tr>
    </w:tbl>
    <w:p w14:paraId="1B633B08" w14:textId="0666193B" w:rsidR="00B40F9F" w:rsidRDefault="00B40F9F" w:rsidP="004A0965">
      <w:pPr>
        <w:pStyle w:val="Heading1"/>
        <w:ind w:left="0"/>
        <w:rPr>
          <w:color w:val="FFC000" w:themeColor="accent4"/>
        </w:rPr>
      </w:pPr>
    </w:p>
    <w:p w14:paraId="15E28DEE" w14:textId="5A8C37E8" w:rsidR="00C62AA6" w:rsidRDefault="00C62AA6" w:rsidP="004A0965">
      <w:pPr>
        <w:pStyle w:val="Heading1"/>
        <w:ind w:left="0"/>
        <w:rPr>
          <w:color w:val="FFC000" w:themeColor="accent4"/>
        </w:rPr>
      </w:pPr>
    </w:p>
    <w:p w14:paraId="50499453" w14:textId="16D70F2C" w:rsidR="00C62AA6" w:rsidRDefault="00C62AA6" w:rsidP="004A0965">
      <w:pPr>
        <w:pStyle w:val="Heading1"/>
        <w:ind w:left="0"/>
        <w:rPr>
          <w:color w:val="FFC000" w:themeColor="accent4"/>
        </w:rPr>
      </w:pPr>
    </w:p>
    <w:p w14:paraId="536DCB46" w14:textId="02F24780" w:rsidR="00C62AA6" w:rsidRDefault="00C62AA6" w:rsidP="004A0965">
      <w:pPr>
        <w:pStyle w:val="Heading1"/>
        <w:ind w:left="0"/>
        <w:rPr>
          <w:color w:val="FFC000" w:themeColor="accent4"/>
        </w:rPr>
      </w:pPr>
    </w:p>
    <w:p w14:paraId="23ADA077" w14:textId="77777777" w:rsidR="00C62AA6" w:rsidRDefault="00C62AA6" w:rsidP="004A0965">
      <w:pPr>
        <w:pStyle w:val="Heading1"/>
        <w:ind w:left="0"/>
        <w:rPr>
          <w:color w:val="FFC000" w:themeColor="accent4"/>
        </w:rPr>
      </w:pPr>
    </w:p>
    <w:p w14:paraId="48DC63D8" w14:textId="77777777" w:rsidR="005F50B7" w:rsidRPr="00E22404" w:rsidRDefault="005F50B7" w:rsidP="004A0965">
      <w:pPr>
        <w:pStyle w:val="Heading1"/>
        <w:ind w:left="0"/>
        <w:rPr>
          <w:color w:val="FFC000" w:themeColor="accent4"/>
        </w:rPr>
      </w:pPr>
      <w:r w:rsidRPr="00E22404">
        <w:rPr>
          <w:color w:val="FFC000" w:themeColor="accent4"/>
        </w:rPr>
        <w:t>Public attitudes towards road safety</w:t>
      </w:r>
    </w:p>
    <w:tbl>
      <w:tblPr>
        <w:tblStyle w:val="GridTable4-Accent4"/>
        <w:tblW w:w="5000" w:type="pct"/>
        <w:tblLook w:val="04A0" w:firstRow="1" w:lastRow="0" w:firstColumn="1" w:lastColumn="0" w:noHBand="0" w:noVBand="1"/>
      </w:tblPr>
      <w:tblGrid>
        <w:gridCol w:w="7978"/>
        <w:gridCol w:w="2478"/>
      </w:tblGrid>
      <w:tr w:rsidR="00D66BAA" w:rsidRPr="00BA0BD0" w14:paraId="597DEDA6" w14:textId="77777777" w:rsidTr="00D66BAA">
        <w:trPr>
          <w:cnfStyle w:val="100000000000" w:firstRow="1" w:lastRow="0" w:firstColumn="0" w:lastColumn="0" w:oddVBand="0" w:evenVBand="0" w:oddHBand="0" w:evenHBand="0" w:firstRowFirstColumn="0" w:firstRowLastColumn="0" w:lastRowFirstColumn="0" w:lastRowLastColumn="0"/>
          <w:trHeight w:val="41"/>
        </w:trPr>
        <w:tc>
          <w:tcPr>
            <w:cnfStyle w:val="001000000000" w:firstRow="0" w:lastRow="0" w:firstColumn="1" w:lastColumn="0" w:oddVBand="0" w:evenVBand="0" w:oddHBand="0" w:evenHBand="0" w:firstRowFirstColumn="0" w:firstRowLastColumn="0" w:lastRowFirstColumn="0" w:lastRowLastColumn="0"/>
            <w:tcW w:w="3815" w:type="pct"/>
          </w:tcPr>
          <w:p w14:paraId="49EF2950" w14:textId="77777777" w:rsidR="00D66BAA" w:rsidRPr="005F50B7" w:rsidRDefault="00D66BAA" w:rsidP="00BC2502">
            <w:pPr>
              <w:rPr>
                <w:noProof/>
                <w:lang w:eastAsia="en-NZ"/>
              </w:rPr>
            </w:pPr>
          </w:p>
        </w:tc>
        <w:tc>
          <w:tcPr>
            <w:tcW w:w="1185" w:type="pct"/>
          </w:tcPr>
          <w:p w14:paraId="7710C5B7" w14:textId="77777777" w:rsidR="00D66BAA" w:rsidRPr="005F50B7" w:rsidRDefault="00D66BAA" w:rsidP="00BC2502">
            <w:pPr>
              <w:cnfStyle w:val="100000000000" w:firstRow="1" w:lastRow="0" w:firstColumn="0" w:lastColumn="0" w:oddVBand="0" w:evenVBand="0" w:oddHBand="0" w:evenHBand="0" w:firstRowFirstColumn="0" w:firstRowLastColumn="0" w:lastRowFirstColumn="0" w:lastRowLastColumn="0"/>
            </w:pPr>
          </w:p>
        </w:tc>
      </w:tr>
      <w:tr w:rsidR="005F50B7" w:rsidRPr="00BA0BD0" w14:paraId="7B8C4683" w14:textId="77777777" w:rsidTr="00E22404">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3815" w:type="pct"/>
          </w:tcPr>
          <w:p w14:paraId="4F12CFFF" w14:textId="77777777" w:rsidR="005F50B7" w:rsidRPr="005F50B7" w:rsidRDefault="005F50B7" w:rsidP="00BC2502">
            <w:pPr>
              <w:rPr>
                <w:b w:val="0"/>
              </w:rPr>
            </w:pPr>
            <w:r w:rsidRPr="005F50B7">
              <w:rPr>
                <w:noProof/>
                <w:lang w:eastAsia="en-NZ"/>
              </w:rPr>
              <w:drawing>
                <wp:inline distT="0" distB="0" distL="0" distR="0" wp14:anchorId="180E9401" wp14:editId="0250B7B2">
                  <wp:extent cx="4809995" cy="2584450"/>
                  <wp:effectExtent l="0" t="0" r="10160" b="635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1185" w:type="pct"/>
          </w:tcPr>
          <w:p w14:paraId="1FC2498C" w14:textId="77777777" w:rsidR="005F50B7" w:rsidRPr="005F50B7" w:rsidRDefault="005F50B7" w:rsidP="00BC2502">
            <w:pPr>
              <w:cnfStyle w:val="000000100000" w:firstRow="0" w:lastRow="0" w:firstColumn="0" w:lastColumn="0" w:oddVBand="0" w:evenVBand="0" w:oddHBand="1" w:evenHBand="0" w:firstRowFirstColumn="0" w:firstRowLastColumn="0" w:lastRowFirstColumn="0" w:lastRowLastColumn="0"/>
              <w:rPr>
                <w:b/>
              </w:rPr>
            </w:pPr>
            <w:r w:rsidRPr="00D66BAA">
              <w:rPr>
                <w:b/>
              </w:rPr>
              <w:t>Speeding</w:t>
            </w:r>
            <w:r w:rsidRPr="005F50B7">
              <w:rPr>
                <w:b/>
              </w:rPr>
              <w:t xml:space="preserve"> – </w:t>
            </w:r>
            <w:r w:rsidRPr="00D66BAA">
              <w:t>In 2018/19 55% of people agreed that anything over the speed limit is speeding. In 2019/20 this decreased to 51%.</w:t>
            </w:r>
          </w:p>
        </w:tc>
      </w:tr>
      <w:tr w:rsidR="005F50B7" w:rsidRPr="00BA0BD0" w14:paraId="7BECA1CA" w14:textId="77777777" w:rsidTr="00E22404">
        <w:tc>
          <w:tcPr>
            <w:cnfStyle w:val="001000000000" w:firstRow="0" w:lastRow="0" w:firstColumn="1" w:lastColumn="0" w:oddVBand="0" w:evenVBand="0" w:oddHBand="0" w:evenHBand="0" w:firstRowFirstColumn="0" w:firstRowLastColumn="0" w:lastRowFirstColumn="0" w:lastRowLastColumn="0"/>
            <w:tcW w:w="3815" w:type="pct"/>
          </w:tcPr>
          <w:p w14:paraId="4F7A1ACE" w14:textId="77777777" w:rsidR="005F50B7" w:rsidRPr="00BA0BD0" w:rsidRDefault="005F50B7" w:rsidP="00BC2502">
            <w:r>
              <w:rPr>
                <w:noProof/>
                <w:lang w:eastAsia="en-NZ"/>
              </w:rPr>
              <w:drawing>
                <wp:inline distT="0" distB="0" distL="0" distR="0" wp14:anchorId="6DA3C628" wp14:editId="3EF5E9F7">
                  <wp:extent cx="4809490" cy="2483485"/>
                  <wp:effectExtent l="0" t="0" r="10160" b="1206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c>
          <w:tcPr>
            <w:tcW w:w="1185" w:type="pct"/>
          </w:tcPr>
          <w:p w14:paraId="1A633D8F" w14:textId="77777777" w:rsidR="00CB30E5" w:rsidRDefault="005F50B7" w:rsidP="00BC2502">
            <w:pPr>
              <w:cnfStyle w:val="000000000000" w:firstRow="0" w:lastRow="0" w:firstColumn="0" w:lastColumn="0" w:oddVBand="0" w:evenVBand="0" w:oddHBand="0" w:evenHBand="0" w:firstRowFirstColumn="0" w:firstRowLastColumn="0" w:lastRowFirstColumn="0" w:lastRowLastColumn="0"/>
            </w:pPr>
            <w:r w:rsidRPr="00E7532A">
              <w:rPr>
                <w:b/>
              </w:rPr>
              <w:t>Drink driving</w:t>
            </w:r>
            <w:r w:rsidRPr="00BA0BD0">
              <w:t xml:space="preserve"> – 12% of people claim to have driven at least once during the past 12 months while slightly intoxicated. </w:t>
            </w:r>
          </w:p>
          <w:p w14:paraId="6C3D5FED" w14:textId="77777777" w:rsidR="00CB30E5" w:rsidRDefault="00CB30E5" w:rsidP="00BC2502">
            <w:pPr>
              <w:cnfStyle w:val="000000000000" w:firstRow="0" w:lastRow="0" w:firstColumn="0" w:lastColumn="0" w:oddVBand="0" w:evenVBand="0" w:oddHBand="0" w:evenHBand="0" w:firstRowFirstColumn="0" w:firstRowLastColumn="0" w:lastRowFirstColumn="0" w:lastRowLastColumn="0"/>
            </w:pPr>
          </w:p>
          <w:p w14:paraId="09960428" w14:textId="77777777" w:rsidR="00CB30E5" w:rsidRDefault="00CB30E5" w:rsidP="00BC2502">
            <w:pPr>
              <w:cnfStyle w:val="000000000000" w:firstRow="0" w:lastRow="0" w:firstColumn="0" w:lastColumn="0" w:oddVBand="0" w:evenVBand="0" w:oddHBand="0" w:evenHBand="0" w:firstRowFirstColumn="0" w:firstRowLastColumn="0" w:lastRowFirstColumn="0" w:lastRowLastColumn="0"/>
            </w:pPr>
          </w:p>
          <w:p w14:paraId="5B2A2C26" w14:textId="1387C124" w:rsidR="005F50B7" w:rsidRPr="00BA0BD0" w:rsidRDefault="005F50B7" w:rsidP="00FA43FA">
            <w:pPr>
              <w:cnfStyle w:val="000000000000" w:firstRow="0" w:lastRow="0" w:firstColumn="0" w:lastColumn="0" w:oddVBand="0" w:evenVBand="0" w:oddHBand="0" w:evenHBand="0" w:firstRowFirstColumn="0" w:firstRowLastColumn="0" w:lastRowFirstColumn="0" w:lastRowLastColumn="0"/>
            </w:pPr>
            <w:r w:rsidRPr="00BA0BD0">
              <w:t>This question is a new measure</w:t>
            </w:r>
            <w:r w:rsidR="00CE7D06">
              <w:t>,</w:t>
            </w:r>
            <w:r w:rsidR="00FA43FA">
              <w:t xml:space="preserve"> so trends are not yet available</w:t>
            </w:r>
            <w:r w:rsidRPr="00BA0BD0">
              <w:t xml:space="preserve">. </w:t>
            </w:r>
          </w:p>
        </w:tc>
      </w:tr>
      <w:tr w:rsidR="005F50B7" w:rsidRPr="00BA0BD0" w14:paraId="18CE3B50" w14:textId="77777777" w:rsidTr="00E224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5" w:type="pct"/>
          </w:tcPr>
          <w:p w14:paraId="4007C97B" w14:textId="77777777" w:rsidR="005F50B7" w:rsidRPr="00BA0BD0" w:rsidRDefault="005F50B7" w:rsidP="00BC2502">
            <w:r>
              <w:rPr>
                <w:noProof/>
                <w:lang w:eastAsia="en-NZ"/>
              </w:rPr>
              <w:drawing>
                <wp:inline distT="0" distB="0" distL="0" distR="0" wp14:anchorId="7B1D75D4" wp14:editId="343E42B3">
                  <wp:extent cx="4791206" cy="2627630"/>
                  <wp:effectExtent l="0" t="0" r="9525" b="127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1185" w:type="pct"/>
          </w:tcPr>
          <w:p w14:paraId="05C93A58" w14:textId="77777777" w:rsidR="005F50B7" w:rsidRPr="00BA0BD0" w:rsidRDefault="005F50B7" w:rsidP="00BC2502">
            <w:pPr>
              <w:cnfStyle w:val="000000100000" w:firstRow="0" w:lastRow="0" w:firstColumn="0" w:lastColumn="0" w:oddVBand="0" w:evenVBand="0" w:oddHBand="1" w:evenHBand="0" w:firstRowFirstColumn="0" w:firstRowLastColumn="0" w:lastRowFirstColumn="0" w:lastRowLastColumn="0"/>
            </w:pPr>
            <w:r>
              <w:rPr>
                <w:b/>
              </w:rPr>
              <w:t xml:space="preserve">Fatigue </w:t>
            </w:r>
            <w:r>
              <w:t>- I</w:t>
            </w:r>
            <w:r w:rsidRPr="00BA0BD0">
              <w:t>n 2018/19 47% of people said they would pull over and have a short nap when drowsy. In 2019/20 this increased to 56%.</w:t>
            </w:r>
          </w:p>
          <w:p w14:paraId="13D00076" w14:textId="77777777" w:rsidR="005F50B7" w:rsidRPr="00BA0BD0" w:rsidRDefault="005F50B7" w:rsidP="00BC2502">
            <w:pPr>
              <w:cnfStyle w:val="000000100000" w:firstRow="0" w:lastRow="0" w:firstColumn="0" w:lastColumn="0" w:oddVBand="0" w:evenVBand="0" w:oddHBand="1" w:evenHBand="0" w:firstRowFirstColumn="0" w:firstRowLastColumn="0" w:lastRowFirstColumn="0" w:lastRowLastColumn="0"/>
            </w:pPr>
            <w:r w:rsidRPr="00BA0BD0">
              <w:t xml:space="preserve"> </w:t>
            </w:r>
          </w:p>
          <w:p w14:paraId="2DAE7514" w14:textId="77777777" w:rsidR="005F50B7" w:rsidRPr="00BA0BD0" w:rsidRDefault="005F50B7" w:rsidP="00BC2502">
            <w:pPr>
              <w:cnfStyle w:val="000000100000" w:firstRow="0" w:lastRow="0" w:firstColumn="0" w:lastColumn="0" w:oddVBand="0" w:evenVBand="0" w:oddHBand="1" w:evenHBand="0" w:firstRowFirstColumn="0" w:firstRowLastColumn="0" w:lastRowFirstColumn="0" w:lastRowLastColumn="0"/>
            </w:pPr>
          </w:p>
        </w:tc>
      </w:tr>
      <w:tr w:rsidR="005F50B7" w:rsidRPr="00BA0BD0" w14:paraId="455652CA" w14:textId="77777777" w:rsidTr="00E22404">
        <w:tc>
          <w:tcPr>
            <w:cnfStyle w:val="001000000000" w:firstRow="0" w:lastRow="0" w:firstColumn="1" w:lastColumn="0" w:oddVBand="0" w:evenVBand="0" w:oddHBand="0" w:evenHBand="0" w:firstRowFirstColumn="0" w:firstRowLastColumn="0" w:lastRowFirstColumn="0" w:lastRowLastColumn="0"/>
            <w:tcW w:w="3815" w:type="pct"/>
          </w:tcPr>
          <w:p w14:paraId="3AC624A2" w14:textId="77777777" w:rsidR="005F50B7" w:rsidRPr="00BA0BD0" w:rsidRDefault="005F50B7" w:rsidP="00BC2502">
            <w:r>
              <w:rPr>
                <w:noProof/>
                <w:lang w:eastAsia="en-NZ"/>
              </w:rPr>
              <w:lastRenderedPageBreak/>
              <w:drawing>
                <wp:inline distT="0" distB="0" distL="0" distR="0" wp14:anchorId="53918A18" wp14:editId="116B95FC">
                  <wp:extent cx="4772417" cy="2901315"/>
                  <wp:effectExtent l="0" t="0" r="9525" b="13335"/>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c>
          <w:tcPr>
            <w:tcW w:w="1185" w:type="pct"/>
          </w:tcPr>
          <w:p w14:paraId="5E783A02" w14:textId="77777777" w:rsidR="005F50B7" w:rsidRPr="00BA0BD0" w:rsidRDefault="005F50B7" w:rsidP="00BC2502">
            <w:pPr>
              <w:cnfStyle w:val="000000000000" w:firstRow="0" w:lastRow="0" w:firstColumn="0" w:lastColumn="0" w:oddVBand="0" w:evenVBand="0" w:oddHBand="0" w:evenHBand="0" w:firstRowFirstColumn="0" w:firstRowLastColumn="0" w:lastRowFirstColumn="0" w:lastRowLastColumn="0"/>
            </w:pPr>
            <w:r w:rsidRPr="00CD0D30">
              <w:rPr>
                <w:b/>
              </w:rPr>
              <w:t>Driving while distr</w:t>
            </w:r>
            <w:r w:rsidR="00CB30E5">
              <w:rPr>
                <w:b/>
              </w:rPr>
              <w:t>acted (including cell phone use</w:t>
            </w:r>
            <w:r w:rsidRPr="00CD0D30">
              <w:rPr>
                <w:b/>
              </w:rPr>
              <w:t>)</w:t>
            </w:r>
            <w:r w:rsidRPr="00BA0BD0">
              <w:t xml:space="preserve"> – in 2018/19 35% of people said in the past month they have used a mobile phone while driving. Th</w:t>
            </w:r>
            <w:r>
              <w:t>is decreased to 16% in 2019/20.</w:t>
            </w:r>
          </w:p>
        </w:tc>
      </w:tr>
      <w:tr w:rsidR="005F50B7" w:rsidRPr="00BA0BD0" w14:paraId="7AE64566" w14:textId="77777777" w:rsidTr="00E224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5" w:type="pct"/>
          </w:tcPr>
          <w:p w14:paraId="1BB2F716" w14:textId="77777777" w:rsidR="005F50B7" w:rsidRDefault="005F50B7" w:rsidP="00BC2502">
            <w:pPr>
              <w:rPr>
                <w:noProof/>
                <w:lang w:eastAsia="en-NZ"/>
              </w:rPr>
            </w:pPr>
            <w:r>
              <w:rPr>
                <w:noProof/>
                <w:lang w:eastAsia="en-NZ"/>
              </w:rPr>
              <w:drawing>
                <wp:inline distT="0" distB="0" distL="0" distR="0" wp14:anchorId="6765A129" wp14:editId="40E4A013">
                  <wp:extent cx="4772025" cy="2569845"/>
                  <wp:effectExtent l="0" t="0" r="9525" b="1905"/>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c>
          <w:tcPr>
            <w:tcW w:w="1185" w:type="pct"/>
          </w:tcPr>
          <w:p w14:paraId="3BBDC974" w14:textId="77777777" w:rsidR="005F50B7" w:rsidRPr="00BA0BD0" w:rsidRDefault="005F50B7" w:rsidP="00BC2502">
            <w:pPr>
              <w:cnfStyle w:val="000000100000" w:firstRow="0" w:lastRow="0" w:firstColumn="0" w:lastColumn="0" w:oddVBand="0" w:evenVBand="0" w:oddHBand="1" w:evenHBand="0" w:firstRowFirstColumn="0" w:firstRowLastColumn="0" w:lastRowFirstColumn="0" w:lastRowLastColumn="0"/>
            </w:pPr>
            <w:r w:rsidRPr="00CD0D30">
              <w:rPr>
                <w:b/>
              </w:rPr>
              <w:t>Police interaction -</w:t>
            </w:r>
            <w:r>
              <w:t xml:space="preserve"> Compared to 2018/19 where 16% of people said they had been stopped at a police checkpoint in the last month, this was only </w:t>
            </w:r>
            <w:r w:rsidR="00CC4CBF">
              <w:t>8% (</w:t>
            </w:r>
            <w:r>
              <w:t>2019/20</w:t>
            </w:r>
            <w:r w:rsidR="00CC4CBF">
              <w:t>)</w:t>
            </w:r>
            <w:r>
              <w:t xml:space="preserve">. </w:t>
            </w:r>
          </w:p>
        </w:tc>
      </w:tr>
    </w:tbl>
    <w:tbl>
      <w:tblPr>
        <w:tblpPr w:leftFromText="180" w:rightFromText="180" w:vertAnchor="page" w:horzAnchor="margin" w:tblpY="1039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7D7E9C" w:rsidRPr="00CD0D30" w:rsidDel="00AC52BC" w14:paraId="1E5515DD" w14:textId="77777777" w:rsidTr="007D7E9C">
        <w:trPr>
          <w:trHeight w:val="1000"/>
        </w:trPr>
        <w:tc>
          <w:tcPr>
            <w:tcW w:w="5000" w:type="pct"/>
            <w:shd w:val="clear" w:color="auto" w:fill="D0CECE" w:themeFill="background2" w:themeFillShade="E6"/>
          </w:tcPr>
          <w:p w14:paraId="0E28C715" w14:textId="77777777" w:rsidR="007D7E9C" w:rsidRPr="00B40F9F" w:rsidDel="00AC52BC" w:rsidRDefault="007D7E9C" w:rsidP="007D7E9C">
            <w:pPr>
              <w:keepNext/>
              <w:spacing w:after="0"/>
              <w:rPr>
                <w:rFonts w:asciiTheme="minorHAnsi" w:hAnsiTheme="minorHAnsi" w:cstheme="minorHAnsi"/>
                <w:b/>
                <w:color w:val="000000" w:themeColor="text1"/>
                <w:sz w:val="16"/>
              </w:rPr>
            </w:pPr>
            <w:r w:rsidRPr="00CD0D30" w:rsidDel="00AC52BC">
              <w:rPr>
                <w:rStyle w:val="Strong"/>
                <w:color w:val="5B9BD5" w:themeColor="accent1"/>
                <w:sz w:val="20"/>
              </w:rPr>
              <w:br w:type="page"/>
            </w:r>
            <w:r w:rsidRPr="00B40F9F" w:rsidDel="00AC52BC">
              <w:rPr>
                <w:rFonts w:asciiTheme="minorHAnsi" w:hAnsiTheme="minorHAnsi" w:cstheme="minorHAnsi"/>
                <w:b/>
                <w:color w:val="000000" w:themeColor="text1"/>
                <w:sz w:val="16"/>
              </w:rPr>
              <w:t>About these indicators</w:t>
            </w:r>
          </w:p>
          <w:p w14:paraId="4D6A1771" w14:textId="77777777" w:rsidR="007D7E9C" w:rsidRPr="00B40F9F" w:rsidDel="00AC52BC" w:rsidRDefault="007D7E9C" w:rsidP="007D7E9C">
            <w:pPr>
              <w:tabs>
                <w:tab w:val="left" w:pos="1401"/>
                <w:tab w:val="left" w:pos="1402"/>
              </w:tabs>
              <w:spacing w:before="120" w:after="120"/>
              <w:ind w:right="-28"/>
              <w:rPr>
                <w:rFonts w:asciiTheme="minorHAnsi" w:hAnsiTheme="minorHAnsi" w:cstheme="minorHAnsi"/>
                <w:iCs/>
                <w:sz w:val="16"/>
              </w:rPr>
            </w:pPr>
            <w:r w:rsidRPr="00B40F9F" w:rsidDel="00AC52BC">
              <w:rPr>
                <w:rFonts w:asciiTheme="minorHAnsi" w:hAnsiTheme="minorHAnsi" w:cstheme="minorHAnsi"/>
                <w:i/>
                <w:sz w:val="16"/>
              </w:rPr>
              <w:t xml:space="preserve">Data source: </w:t>
            </w:r>
            <w:r w:rsidRPr="00B40F9F" w:rsidDel="00AC52BC">
              <w:rPr>
                <w:rFonts w:asciiTheme="minorHAnsi" w:hAnsiTheme="minorHAnsi" w:cstheme="minorHAnsi"/>
                <w:iCs/>
                <w:sz w:val="16"/>
              </w:rPr>
              <w:t>Waka Kotahi. Data comes from an online survey</w:t>
            </w:r>
            <w:r>
              <w:rPr>
                <w:rFonts w:asciiTheme="minorHAnsi" w:hAnsiTheme="minorHAnsi" w:cstheme="minorHAnsi"/>
                <w:iCs/>
                <w:sz w:val="16"/>
              </w:rPr>
              <w:t xml:space="preserve"> (Road Safety Advertising Survey)</w:t>
            </w:r>
            <w:r w:rsidRPr="00B40F9F" w:rsidDel="00AC52BC">
              <w:rPr>
                <w:rFonts w:asciiTheme="minorHAnsi" w:hAnsiTheme="minorHAnsi" w:cstheme="minorHAnsi"/>
                <w:iCs/>
                <w:sz w:val="16"/>
              </w:rPr>
              <w:t xml:space="preserve"> of approximately 1,500 people per quarter who hold a driving licence, with sample quotas to give sufficient numbers for key advertising audiences. The survey was conducted as part of the monitoring of the road safety advertising programme. The reported results are weighted to reflect the national population.</w:t>
            </w:r>
          </w:p>
          <w:p w14:paraId="61B2A7CA" w14:textId="77777777" w:rsidR="007D7E9C" w:rsidRDefault="007D7E9C" w:rsidP="007D7E9C">
            <w:pPr>
              <w:tabs>
                <w:tab w:val="left" w:pos="1401"/>
                <w:tab w:val="left" w:pos="1402"/>
              </w:tabs>
              <w:spacing w:before="120" w:after="120"/>
              <w:ind w:right="-28"/>
              <w:rPr>
                <w:rFonts w:asciiTheme="minorHAnsi" w:hAnsiTheme="minorHAnsi" w:cstheme="minorHAnsi"/>
                <w:iCs/>
                <w:sz w:val="16"/>
              </w:rPr>
            </w:pPr>
            <w:r w:rsidRPr="00B40F9F" w:rsidDel="00AC52BC">
              <w:rPr>
                <w:rFonts w:asciiTheme="minorHAnsi" w:hAnsiTheme="minorHAnsi" w:cstheme="minorHAnsi"/>
                <w:iCs/>
                <w:sz w:val="16"/>
              </w:rPr>
              <w:t>There was a change in methodology/scope this year. Some questions were discontinued while new ones were added.</w:t>
            </w:r>
          </w:p>
          <w:p w14:paraId="257BED8E" w14:textId="3FB59A03" w:rsidR="007D7E9C" w:rsidRPr="007D7E9C" w:rsidDel="00AC52BC" w:rsidRDefault="001523E2" w:rsidP="001523E2">
            <w:pPr>
              <w:tabs>
                <w:tab w:val="left" w:pos="1401"/>
                <w:tab w:val="left" w:pos="1402"/>
              </w:tabs>
              <w:spacing w:before="120" w:after="120"/>
              <w:ind w:right="-28"/>
              <w:rPr>
                <w:rFonts w:asciiTheme="minorHAnsi" w:hAnsiTheme="minorHAnsi" w:cstheme="minorHAnsi"/>
                <w:iCs/>
                <w:sz w:val="16"/>
              </w:rPr>
            </w:pPr>
            <w:r>
              <w:rPr>
                <w:rFonts w:asciiTheme="minorHAnsi" w:hAnsiTheme="minorHAnsi" w:cstheme="minorHAnsi"/>
                <w:iCs/>
                <w:sz w:val="16"/>
              </w:rPr>
              <w:t xml:space="preserve">Note: You can find an alternative source of information (The Public Attitudes to Road Safety Survey) for a wider range of road safety related attitude data here: </w:t>
            </w:r>
            <w:hyperlink r:id="rId27" w:history="1">
              <w:r w:rsidRPr="001523E2">
                <w:rPr>
                  <w:rStyle w:val="Hyperlink"/>
                  <w:sz w:val="14"/>
                </w:rPr>
                <w:t>https://www.nzta.govt.nz/resources/public-attitudes-to-road-safety/</w:t>
              </w:r>
            </w:hyperlink>
            <w:r w:rsidRPr="001523E2">
              <w:rPr>
                <w:sz w:val="14"/>
              </w:rPr>
              <w:t xml:space="preserve">  </w:t>
            </w:r>
            <w:r w:rsidR="007D7E9C" w:rsidRPr="001523E2" w:rsidDel="00AC52BC">
              <w:rPr>
                <w:rFonts w:asciiTheme="minorHAnsi" w:hAnsiTheme="minorHAnsi" w:cstheme="minorHAnsi"/>
                <w:iCs/>
                <w:sz w:val="8"/>
              </w:rPr>
              <w:t xml:space="preserve"> </w:t>
            </w:r>
          </w:p>
        </w:tc>
      </w:tr>
    </w:tbl>
    <w:p w14:paraId="061EE5B5" w14:textId="02D8C0BC" w:rsidR="005D66F0" w:rsidRDefault="005D66F0" w:rsidP="00AE5254">
      <w:pPr>
        <w:pStyle w:val="Heading1"/>
        <w:ind w:left="0"/>
        <w:rPr>
          <w:color w:val="5B9BD5" w:themeColor="accent1"/>
        </w:rPr>
      </w:pPr>
    </w:p>
    <w:p w14:paraId="50669F79" w14:textId="2847443C" w:rsidR="00C617ED" w:rsidRDefault="00C617ED" w:rsidP="00AE5254">
      <w:pPr>
        <w:pStyle w:val="Heading1"/>
        <w:ind w:left="0"/>
        <w:rPr>
          <w:color w:val="5B9BD5" w:themeColor="accent1"/>
        </w:rPr>
      </w:pPr>
    </w:p>
    <w:p w14:paraId="4D4438D7" w14:textId="77777777" w:rsidR="00C617ED" w:rsidRDefault="00C617ED" w:rsidP="00AE5254">
      <w:pPr>
        <w:pStyle w:val="Heading1"/>
        <w:ind w:left="0"/>
        <w:rPr>
          <w:color w:val="5B9BD5" w:themeColor="accent1"/>
        </w:rPr>
      </w:pPr>
    </w:p>
    <w:p w14:paraId="2A9F5574" w14:textId="77777777" w:rsidR="001523E2" w:rsidRDefault="001523E2" w:rsidP="00AE5254">
      <w:pPr>
        <w:pStyle w:val="Heading1"/>
        <w:ind w:left="0"/>
        <w:rPr>
          <w:color w:val="FFC000" w:themeColor="accent4"/>
        </w:rPr>
      </w:pPr>
    </w:p>
    <w:p w14:paraId="271B8206" w14:textId="77777777" w:rsidR="001523E2" w:rsidRDefault="001523E2" w:rsidP="00AE5254">
      <w:pPr>
        <w:pStyle w:val="Heading1"/>
        <w:ind w:left="0"/>
        <w:rPr>
          <w:color w:val="FFC000" w:themeColor="accent4"/>
        </w:rPr>
      </w:pPr>
    </w:p>
    <w:p w14:paraId="2416A1A4" w14:textId="77777777" w:rsidR="001523E2" w:rsidRDefault="001523E2" w:rsidP="00AE5254">
      <w:pPr>
        <w:pStyle w:val="Heading1"/>
        <w:ind w:left="0"/>
        <w:rPr>
          <w:color w:val="FFC000" w:themeColor="accent4"/>
        </w:rPr>
      </w:pPr>
    </w:p>
    <w:p w14:paraId="726491B2" w14:textId="77777777" w:rsidR="001523E2" w:rsidRDefault="001523E2" w:rsidP="00AE5254">
      <w:pPr>
        <w:pStyle w:val="Heading1"/>
        <w:ind w:left="0"/>
        <w:rPr>
          <w:color w:val="FFC000" w:themeColor="accent4"/>
        </w:rPr>
      </w:pPr>
    </w:p>
    <w:p w14:paraId="6F6E7DBD" w14:textId="77777777" w:rsidR="001523E2" w:rsidRDefault="001523E2" w:rsidP="00AE5254">
      <w:pPr>
        <w:pStyle w:val="Heading1"/>
        <w:ind w:left="0"/>
        <w:rPr>
          <w:color w:val="FFC000" w:themeColor="accent4"/>
        </w:rPr>
      </w:pPr>
    </w:p>
    <w:p w14:paraId="2D9E0FDD" w14:textId="77777777" w:rsidR="001523E2" w:rsidRDefault="001523E2" w:rsidP="00AE5254">
      <w:pPr>
        <w:pStyle w:val="Heading1"/>
        <w:ind w:left="0"/>
        <w:rPr>
          <w:color w:val="FFC000" w:themeColor="accent4"/>
        </w:rPr>
      </w:pPr>
    </w:p>
    <w:p w14:paraId="35E0CFD8" w14:textId="77777777" w:rsidR="001523E2" w:rsidRDefault="001523E2" w:rsidP="00AE5254">
      <w:pPr>
        <w:pStyle w:val="Heading1"/>
        <w:ind w:left="0"/>
        <w:rPr>
          <w:color w:val="FFC000" w:themeColor="accent4"/>
        </w:rPr>
      </w:pPr>
    </w:p>
    <w:p w14:paraId="1DF66D1A" w14:textId="2885F3A5" w:rsidR="00AE5254" w:rsidRPr="004F7040" w:rsidRDefault="00AE5254" w:rsidP="00AE5254">
      <w:pPr>
        <w:pStyle w:val="Heading1"/>
        <w:ind w:left="0"/>
        <w:rPr>
          <w:color w:val="FFC000" w:themeColor="accent4"/>
        </w:rPr>
      </w:pPr>
      <w:r w:rsidRPr="004F7040">
        <w:rPr>
          <w:color w:val="FFC000" w:themeColor="accent4"/>
        </w:rPr>
        <w:lastRenderedPageBreak/>
        <w:t xml:space="preserve">Perceived safety of walking and cycling </w:t>
      </w:r>
    </w:p>
    <w:tbl>
      <w:tblPr>
        <w:tblStyle w:val="GridTable4-Accent4"/>
        <w:tblW w:w="5000" w:type="pct"/>
        <w:tblLook w:val="04A0" w:firstRow="1" w:lastRow="0" w:firstColumn="1" w:lastColumn="0" w:noHBand="0" w:noVBand="1"/>
      </w:tblPr>
      <w:tblGrid>
        <w:gridCol w:w="8540"/>
        <w:gridCol w:w="1916"/>
      </w:tblGrid>
      <w:tr w:rsidR="00AE5254" w:rsidRPr="00BA0BD0" w14:paraId="30DE23D6" w14:textId="77777777" w:rsidTr="004F70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11C44029" w14:textId="77777777" w:rsidR="00AE5254" w:rsidRPr="004F7040" w:rsidRDefault="00AE5254" w:rsidP="00377147">
            <w:pPr>
              <w:pStyle w:val="BodyText"/>
              <w:rPr>
                <w:szCs w:val="20"/>
              </w:rPr>
            </w:pPr>
            <w:r w:rsidRPr="004F7040">
              <w:rPr>
                <w:szCs w:val="20"/>
              </w:rPr>
              <w:t>Findings</w:t>
            </w:r>
          </w:p>
        </w:tc>
      </w:tr>
      <w:tr w:rsidR="00AE5254" w:rsidRPr="00BA0BD0" w14:paraId="5076DC7A" w14:textId="77777777" w:rsidTr="004F7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tcPr>
          <w:p w14:paraId="55119265" w14:textId="77777777" w:rsidR="00AE5254" w:rsidRPr="00BA0BD0" w:rsidRDefault="00AE5254" w:rsidP="00377147">
            <w:pPr>
              <w:keepNext/>
              <w:rPr>
                <w:noProof/>
                <w:lang w:eastAsia="en-NZ"/>
              </w:rPr>
            </w:pPr>
            <w:r>
              <w:rPr>
                <w:noProof/>
                <w:lang w:eastAsia="en-NZ"/>
              </w:rPr>
              <w:drawing>
                <wp:inline distT="0" distB="0" distL="0" distR="0" wp14:anchorId="55072801" wp14:editId="4243EFDF">
                  <wp:extent cx="5229053" cy="2743200"/>
                  <wp:effectExtent l="0" t="0" r="10160" b="0"/>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c>
          <w:tcPr>
            <w:tcW w:w="916" w:type="pct"/>
          </w:tcPr>
          <w:p w14:paraId="3EBF66CC" w14:textId="699EBBB7" w:rsidR="00431C19" w:rsidRPr="00224A65" w:rsidRDefault="00431C19" w:rsidP="00431C19">
            <w:pPr>
              <w:pStyle w:val="CommentText"/>
              <w:cnfStyle w:val="000000100000" w:firstRow="0" w:lastRow="0" w:firstColumn="0" w:lastColumn="0" w:oddVBand="0" w:evenVBand="0" w:oddHBand="1" w:evenHBand="0" w:firstRowFirstColumn="0" w:firstRowLastColumn="0" w:lastRowFirstColumn="0" w:lastRowLastColumn="0"/>
              <w:rPr>
                <w:sz w:val="22"/>
              </w:rPr>
            </w:pPr>
            <w:r w:rsidRPr="00224A65">
              <w:rPr>
                <w:sz w:val="22"/>
              </w:rPr>
              <w:t>People feel less safe walking in the dark in 2020 than they did in 2019.</w:t>
            </w:r>
          </w:p>
          <w:p w14:paraId="1E2A1BBD" w14:textId="77777777" w:rsidR="00AE5254" w:rsidRPr="00BC2502" w:rsidRDefault="00AE5254" w:rsidP="00377147">
            <w:pPr>
              <w:keepNext/>
              <w:jc w:val="center"/>
              <w:cnfStyle w:val="000000100000" w:firstRow="0" w:lastRow="0" w:firstColumn="0" w:lastColumn="0" w:oddVBand="0" w:evenVBand="0" w:oddHBand="1" w:evenHBand="0" w:firstRowFirstColumn="0" w:firstRowLastColumn="0" w:lastRowFirstColumn="0" w:lastRowLastColumn="0"/>
              <w:rPr>
                <w:rStyle w:val="Strong"/>
                <w:b w:val="0"/>
              </w:rPr>
            </w:pPr>
          </w:p>
        </w:tc>
      </w:tr>
      <w:tr w:rsidR="00AE5254" w:rsidRPr="00BA0BD0" w14:paraId="061B0122" w14:textId="77777777" w:rsidTr="004F7040">
        <w:tc>
          <w:tcPr>
            <w:cnfStyle w:val="001000000000" w:firstRow="0" w:lastRow="0" w:firstColumn="1" w:lastColumn="0" w:oddVBand="0" w:evenVBand="0" w:oddHBand="0" w:evenHBand="0" w:firstRowFirstColumn="0" w:firstRowLastColumn="0" w:lastRowFirstColumn="0" w:lastRowLastColumn="0"/>
            <w:tcW w:w="4084" w:type="pct"/>
          </w:tcPr>
          <w:p w14:paraId="5212713B" w14:textId="77777777" w:rsidR="00AE5254" w:rsidRPr="00BA0BD0" w:rsidRDefault="00AE5254" w:rsidP="00377147">
            <w:pPr>
              <w:keepNext/>
              <w:rPr>
                <w:noProof/>
                <w:lang w:eastAsia="en-NZ"/>
              </w:rPr>
            </w:pPr>
            <w:r>
              <w:rPr>
                <w:noProof/>
                <w:lang w:eastAsia="en-NZ"/>
              </w:rPr>
              <w:drawing>
                <wp:inline distT="0" distB="0" distL="0" distR="0" wp14:anchorId="3EBD9288" wp14:editId="09AB3584">
                  <wp:extent cx="5234529" cy="2743200"/>
                  <wp:effectExtent l="0" t="0" r="4445" b="0"/>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c>
          <w:tcPr>
            <w:tcW w:w="916" w:type="pct"/>
          </w:tcPr>
          <w:p w14:paraId="288EB74E" w14:textId="17A61D21" w:rsidR="00AE5254" w:rsidRPr="00BC2502" w:rsidRDefault="00431C19" w:rsidP="00D32569">
            <w:pPr>
              <w:keepNext/>
              <w:cnfStyle w:val="000000000000" w:firstRow="0" w:lastRow="0" w:firstColumn="0" w:lastColumn="0" w:oddVBand="0" w:evenVBand="0" w:oddHBand="0" w:evenHBand="0" w:firstRowFirstColumn="0" w:firstRowLastColumn="0" w:lastRowFirstColumn="0" w:lastRowLastColumn="0"/>
              <w:rPr>
                <w:rStyle w:val="Strong"/>
                <w:b w:val="0"/>
              </w:rPr>
            </w:pPr>
            <w:r>
              <w:t>Perceptions of safety of cycling continue to improve this year in a clear trend over that past three years.</w:t>
            </w:r>
          </w:p>
        </w:tc>
      </w:tr>
    </w:tbl>
    <w:tbl>
      <w:tblPr>
        <w:tblpPr w:leftFromText="180" w:rightFromText="180" w:vertAnchor="page" w:horzAnchor="margin" w:tblpY="114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1523E2" w:rsidRPr="00CD0D30" w:rsidDel="00AC52BC" w14:paraId="5190AEB8" w14:textId="77777777" w:rsidTr="001523E2">
        <w:trPr>
          <w:trHeight w:val="1000"/>
        </w:trPr>
        <w:tc>
          <w:tcPr>
            <w:tcW w:w="5000" w:type="pct"/>
            <w:shd w:val="clear" w:color="auto" w:fill="D0CECE" w:themeFill="background2" w:themeFillShade="E6"/>
          </w:tcPr>
          <w:p w14:paraId="7951C8C9" w14:textId="77777777" w:rsidR="001523E2" w:rsidRPr="001523E2" w:rsidDel="00AC52BC" w:rsidRDefault="001523E2" w:rsidP="001523E2">
            <w:pPr>
              <w:tabs>
                <w:tab w:val="left" w:pos="1401"/>
                <w:tab w:val="left" w:pos="1402"/>
              </w:tabs>
              <w:spacing w:before="120" w:after="120"/>
              <w:ind w:right="-28"/>
              <w:rPr>
                <w:rFonts w:asciiTheme="minorHAnsi" w:hAnsiTheme="minorHAnsi" w:cstheme="minorHAnsi"/>
                <w:iCs/>
                <w:sz w:val="16"/>
              </w:rPr>
            </w:pPr>
            <w:r w:rsidRPr="001523E2">
              <w:rPr>
                <w:rFonts w:asciiTheme="minorHAnsi" w:hAnsiTheme="minorHAnsi" w:cstheme="minorHAnsi"/>
                <w:i/>
                <w:sz w:val="16"/>
              </w:rPr>
              <w:t>Data source</w:t>
            </w:r>
            <w:r w:rsidRPr="001523E2">
              <w:rPr>
                <w:rFonts w:asciiTheme="minorHAnsi" w:hAnsiTheme="minorHAnsi" w:cstheme="minorHAnsi"/>
                <w:sz w:val="16"/>
              </w:rPr>
              <w:t>: Waka Kotahi Understanding Attitudes and Perceptions of Cycling and Walking survey. Numbers are based on a sample of 2,256 adults aged 18 years and over, living in Auckland, Wellington, Christchurch, Hamilton, Tauranga and Dunedin. Data reported was collected from late May through to the end of June. Data collection started when the country was a COVID-19 Level 2, transitioning to COVID-19 Level 1 by the end of May and remaining at Level 1 throughout the rest of the data collection. People’s experiences of active modes during lockdown may have influenced their answers to some of these questions.</w:t>
            </w:r>
          </w:p>
        </w:tc>
      </w:tr>
    </w:tbl>
    <w:p w14:paraId="4EBC543E" w14:textId="77777777" w:rsidR="00BD3572" w:rsidRPr="00B61D76" w:rsidRDefault="00BD3572" w:rsidP="00BD3572">
      <w:pPr>
        <w:pStyle w:val="Heading1"/>
        <w:ind w:left="0"/>
        <w:rPr>
          <w:color w:val="70AD47" w:themeColor="accent6"/>
        </w:rPr>
      </w:pPr>
    </w:p>
    <w:p w14:paraId="4303D90F" w14:textId="77777777" w:rsidR="00D11F3B" w:rsidRPr="001523E2" w:rsidRDefault="00D11F3B" w:rsidP="001523E2"/>
    <w:p w14:paraId="50849512" w14:textId="77777777" w:rsidR="00C617ED" w:rsidRPr="001523E2" w:rsidRDefault="00C617ED" w:rsidP="001523E2"/>
    <w:p w14:paraId="204FBB40" w14:textId="77777777" w:rsidR="00C617ED" w:rsidRDefault="00C617ED" w:rsidP="00D11F3B">
      <w:pPr>
        <w:pStyle w:val="Title"/>
        <w:rPr>
          <w:b/>
          <w:color w:val="B4D012"/>
          <w:u w:val="single"/>
        </w:rPr>
      </w:pPr>
    </w:p>
    <w:p w14:paraId="447F7516" w14:textId="6B5009D2" w:rsidR="00C617ED" w:rsidRDefault="00C617ED" w:rsidP="00D11F3B">
      <w:pPr>
        <w:pStyle w:val="Title"/>
        <w:rPr>
          <w:b/>
          <w:color w:val="B4D012"/>
          <w:u w:val="single"/>
        </w:rPr>
      </w:pPr>
    </w:p>
    <w:p w14:paraId="7895BA31" w14:textId="1317864A" w:rsidR="001523E2" w:rsidRDefault="001523E2" w:rsidP="001523E2"/>
    <w:p w14:paraId="0887895F" w14:textId="5A6B91C5" w:rsidR="001523E2" w:rsidRDefault="001523E2" w:rsidP="001523E2"/>
    <w:p w14:paraId="6BC40E47" w14:textId="77777777" w:rsidR="001523E2" w:rsidRPr="001523E2" w:rsidRDefault="001523E2" w:rsidP="001523E2"/>
    <w:p w14:paraId="05AAF69C" w14:textId="701E64EF" w:rsidR="00E22404" w:rsidRPr="00D11F3B" w:rsidRDefault="00D11F3B" w:rsidP="00D11F3B">
      <w:pPr>
        <w:pStyle w:val="Title"/>
        <w:rPr>
          <w:b/>
          <w:color w:val="B4D012"/>
          <w:u w:val="single"/>
        </w:rPr>
      </w:pPr>
      <w:r>
        <w:rPr>
          <w:b/>
          <w:color w:val="B4D012"/>
          <w:u w:val="single"/>
        </w:rPr>
        <w:lastRenderedPageBreak/>
        <w:t xml:space="preserve">Access </w:t>
      </w:r>
    </w:p>
    <w:p w14:paraId="0AC37034" w14:textId="6CC02EB0" w:rsidR="00E22404" w:rsidRDefault="00617F7D" w:rsidP="00E22404">
      <w:pPr>
        <w:pStyle w:val="Heading1"/>
        <w:ind w:left="0"/>
        <w:rPr>
          <w:color w:val="B4D012"/>
        </w:rPr>
      </w:pPr>
      <w:r>
        <w:rPr>
          <w:color w:val="B4D012"/>
        </w:rPr>
        <w:t>Mode share</w:t>
      </w:r>
    </w:p>
    <w:tbl>
      <w:tblPr>
        <w:tblStyle w:val="TableGrid"/>
        <w:tblW w:w="5000" w:type="pct"/>
        <w:tblLook w:val="04A0" w:firstRow="1" w:lastRow="0" w:firstColumn="1" w:lastColumn="0" w:noHBand="0" w:noVBand="1"/>
      </w:tblPr>
      <w:tblGrid>
        <w:gridCol w:w="8196"/>
        <w:gridCol w:w="2260"/>
      </w:tblGrid>
      <w:tr w:rsidR="00AA41EB" w:rsidRPr="00BA0BD0" w14:paraId="49C2798D" w14:textId="77777777" w:rsidTr="00AA41EB">
        <w:trPr>
          <w:trHeight w:val="20"/>
        </w:trPr>
        <w:tc>
          <w:tcPr>
            <w:tcW w:w="5000" w:type="pct"/>
            <w:gridSpan w:val="2"/>
            <w:shd w:val="clear" w:color="auto" w:fill="B4D012"/>
          </w:tcPr>
          <w:p w14:paraId="06B430D8" w14:textId="774605DC" w:rsidR="00AA41EB" w:rsidRPr="00C20445" w:rsidRDefault="00AA41EB" w:rsidP="001523E2">
            <w:pPr>
              <w:rPr>
                <w:b/>
                <w:color w:val="FFFFFF" w:themeColor="background1"/>
              </w:rPr>
            </w:pPr>
            <w:r w:rsidRPr="00B04658">
              <w:rPr>
                <w:b/>
                <w:color w:val="FFFFFF" w:themeColor="background1"/>
              </w:rPr>
              <w:t xml:space="preserve">Findings </w:t>
            </w:r>
          </w:p>
        </w:tc>
      </w:tr>
      <w:tr w:rsidR="00AA41EB" w:rsidRPr="00BA0BD0" w14:paraId="3D91BE9E" w14:textId="77777777" w:rsidTr="001523E2">
        <w:trPr>
          <w:trHeight w:val="20"/>
        </w:trPr>
        <w:tc>
          <w:tcPr>
            <w:tcW w:w="3862" w:type="pct"/>
            <w:shd w:val="clear" w:color="auto" w:fill="EDF8AA"/>
          </w:tcPr>
          <w:p w14:paraId="44BE0112" w14:textId="52B562EE" w:rsidR="00AA41EB" w:rsidRPr="00BA0BD0" w:rsidRDefault="001523E2" w:rsidP="00BC2502">
            <w:r>
              <w:rPr>
                <w:noProof/>
                <w:lang w:eastAsia="en-NZ"/>
              </w:rPr>
              <w:drawing>
                <wp:inline distT="0" distB="0" distL="0" distR="0" wp14:anchorId="13A13395" wp14:editId="1D4BC576">
                  <wp:extent cx="5058410" cy="3533155"/>
                  <wp:effectExtent l="0" t="0" r="8890" b="1016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c>
          <w:tcPr>
            <w:tcW w:w="1138" w:type="pct"/>
            <w:shd w:val="clear" w:color="auto" w:fill="EDF8AA"/>
          </w:tcPr>
          <w:p w14:paraId="483BEA21" w14:textId="77777777" w:rsidR="00AA41EB" w:rsidRPr="00D11F3B" w:rsidRDefault="00AA41EB" w:rsidP="00D11F3B">
            <w:pPr>
              <w:rPr>
                <w:b/>
              </w:rPr>
            </w:pPr>
            <w:r w:rsidRPr="00D11F3B">
              <w:rPr>
                <w:rStyle w:val="Strong"/>
                <w:b w:val="0"/>
              </w:rPr>
              <w:t>83% of all trip legs</w:t>
            </w:r>
            <w:r w:rsidRPr="00D11F3B">
              <w:rPr>
                <w:rStyle w:val="FootnoteReference"/>
                <w:b/>
                <w:bCs/>
                <w:color w:val="000000" w:themeColor="text1"/>
              </w:rPr>
              <w:footnoteReference w:id="6"/>
            </w:r>
            <w:r w:rsidRPr="00D11F3B">
              <w:rPr>
                <w:rStyle w:val="Strong"/>
                <w:b w:val="0"/>
              </w:rPr>
              <w:t xml:space="preserve">, </w:t>
            </w:r>
            <w:r>
              <w:rPr>
                <w:rStyle w:val="Strong"/>
                <w:b w:val="0"/>
              </w:rPr>
              <w:t>are</w:t>
            </w:r>
            <w:r w:rsidRPr="00D11F3B">
              <w:rPr>
                <w:rStyle w:val="Strong"/>
                <w:b w:val="0"/>
              </w:rPr>
              <w:t xml:space="preserve"> by car (either as a driver or passenger).</w:t>
            </w:r>
          </w:p>
        </w:tc>
      </w:tr>
      <w:tr w:rsidR="00AA41EB" w:rsidRPr="00BA0BD0" w14:paraId="6B0C4794" w14:textId="77777777" w:rsidTr="001523E2">
        <w:trPr>
          <w:trHeight w:val="20"/>
        </w:trPr>
        <w:tc>
          <w:tcPr>
            <w:tcW w:w="3862" w:type="pct"/>
            <w:shd w:val="clear" w:color="auto" w:fill="FFFFFF" w:themeFill="background1"/>
          </w:tcPr>
          <w:p w14:paraId="1B4A89F1" w14:textId="489A8B3A" w:rsidR="00AA41EB" w:rsidRDefault="001523E2" w:rsidP="00BC2502">
            <w:r>
              <w:rPr>
                <w:noProof/>
                <w:lang w:eastAsia="en-NZ"/>
              </w:rPr>
              <w:drawing>
                <wp:inline distT="0" distB="0" distL="0" distR="0" wp14:anchorId="6BDC008A" wp14:editId="24A960C0">
                  <wp:extent cx="4983209" cy="3267075"/>
                  <wp:effectExtent l="0" t="0" r="8255"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c>
          <w:tcPr>
            <w:tcW w:w="1138" w:type="pct"/>
            <w:shd w:val="clear" w:color="auto" w:fill="FFFFFF" w:themeFill="background1"/>
          </w:tcPr>
          <w:p w14:paraId="159AB486" w14:textId="0B9E6410" w:rsidR="00AA41EB" w:rsidRPr="00BA0BD0" w:rsidRDefault="00AA41EB" w:rsidP="00D56307">
            <w:r>
              <w:t xml:space="preserve">82% of time spent travelling is by car (either as a driver of passenger) </w:t>
            </w:r>
          </w:p>
        </w:tc>
      </w:tr>
      <w:tr w:rsidR="00AA41EB" w:rsidRPr="00BA0BD0" w14:paraId="1E3FC870" w14:textId="77777777" w:rsidTr="001523E2">
        <w:trPr>
          <w:trHeight w:val="283"/>
        </w:trPr>
        <w:tc>
          <w:tcPr>
            <w:tcW w:w="3862" w:type="pct"/>
            <w:shd w:val="clear" w:color="auto" w:fill="E9F698"/>
          </w:tcPr>
          <w:p w14:paraId="5122DCDE" w14:textId="77777777" w:rsidR="00AA41EB" w:rsidRPr="00BA0BD0" w:rsidRDefault="00AA41EB" w:rsidP="00BC2502">
            <w:r>
              <w:rPr>
                <w:noProof/>
                <w:lang w:eastAsia="en-NZ"/>
              </w:rPr>
              <w:lastRenderedPageBreak/>
              <w:drawing>
                <wp:inline distT="0" distB="0" distL="0" distR="0" wp14:anchorId="70A7A1EA" wp14:editId="69FB88D0">
                  <wp:extent cx="4873149" cy="3509645"/>
                  <wp:effectExtent l="0" t="0" r="3810" b="1460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c>
          <w:tcPr>
            <w:tcW w:w="1138" w:type="pct"/>
            <w:shd w:val="clear" w:color="auto" w:fill="E9F698"/>
          </w:tcPr>
          <w:p w14:paraId="41802443" w14:textId="77777777" w:rsidR="00AA41EB" w:rsidRDefault="00AA41EB" w:rsidP="00D11F3B">
            <w:pPr>
              <w:keepNext/>
              <w:rPr>
                <w:rStyle w:val="Strong"/>
                <w:b w:val="0"/>
              </w:rPr>
            </w:pPr>
            <w:r w:rsidRPr="00D11F3B">
              <w:rPr>
                <w:rStyle w:val="Strong"/>
                <w:b w:val="0"/>
              </w:rPr>
              <w:t>Active travel is more likely to be used for shorter trip legs than for longer trip legs:</w:t>
            </w:r>
          </w:p>
          <w:p w14:paraId="5791378B" w14:textId="350B3D3D" w:rsidR="00D56307" w:rsidRDefault="00AA41EB" w:rsidP="000261E9">
            <w:pPr>
              <w:pStyle w:val="ListParagraph"/>
              <w:keepNext/>
              <w:numPr>
                <w:ilvl w:val="0"/>
                <w:numId w:val="1"/>
              </w:numPr>
              <w:rPr>
                <w:rStyle w:val="Strong"/>
                <w:b w:val="0"/>
              </w:rPr>
            </w:pPr>
            <w:r>
              <w:rPr>
                <w:rStyle w:val="Strong"/>
                <w:b w:val="0"/>
              </w:rPr>
              <w:t>20% of trip legs under 2km</w:t>
            </w:r>
            <w:r w:rsidR="00D56307">
              <w:rPr>
                <w:rStyle w:val="Strong"/>
                <w:b w:val="0"/>
              </w:rPr>
              <w:t xml:space="preserve"> are by walking, and 2% are by cycling</w:t>
            </w:r>
          </w:p>
          <w:p w14:paraId="6BFC0297" w14:textId="7F12F8A4" w:rsidR="00AA41EB" w:rsidRDefault="00AA41EB" w:rsidP="000261E9">
            <w:pPr>
              <w:pStyle w:val="ListParagraph"/>
              <w:keepNext/>
              <w:numPr>
                <w:ilvl w:val="0"/>
                <w:numId w:val="1"/>
              </w:numPr>
              <w:rPr>
                <w:rStyle w:val="Strong"/>
                <w:b w:val="0"/>
              </w:rPr>
            </w:pPr>
            <w:r>
              <w:rPr>
                <w:rStyle w:val="Strong"/>
                <w:b w:val="0"/>
              </w:rPr>
              <w:t xml:space="preserve">4% of trip legs </w:t>
            </w:r>
            <w:r w:rsidR="00D56307">
              <w:rPr>
                <w:rStyle w:val="Strong"/>
                <w:b w:val="0"/>
              </w:rPr>
              <w:t xml:space="preserve">between </w:t>
            </w:r>
            <w:r>
              <w:rPr>
                <w:rStyle w:val="Strong"/>
                <w:b w:val="0"/>
              </w:rPr>
              <w:t xml:space="preserve">2-5km are by walking </w:t>
            </w:r>
            <w:r w:rsidR="00D56307">
              <w:rPr>
                <w:rStyle w:val="Strong"/>
                <w:b w:val="0"/>
              </w:rPr>
              <w:t>and 1.4% are by cycling</w:t>
            </w:r>
          </w:p>
          <w:p w14:paraId="1571DDDF" w14:textId="77777777" w:rsidR="00AA41EB" w:rsidRPr="000261E9" w:rsidRDefault="00AA41EB" w:rsidP="000261E9">
            <w:pPr>
              <w:pStyle w:val="ListParagraph"/>
              <w:keepNext/>
              <w:numPr>
                <w:ilvl w:val="0"/>
                <w:numId w:val="1"/>
              </w:numPr>
              <w:rPr>
                <w:rStyle w:val="Strong"/>
                <w:b w:val="0"/>
              </w:rPr>
            </w:pPr>
            <w:r>
              <w:rPr>
                <w:rStyle w:val="Strong"/>
                <w:b w:val="0"/>
              </w:rPr>
              <w:t xml:space="preserve">Of trip legs longer than 5km, less than 1% are completed by walking or cycling  </w:t>
            </w:r>
          </w:p>
          <w:p w14:paraId="4C59708E" w14:textId="77777777" w:rsidR="00AA41EB" w:rsidRPr="00BA0BD0" w:rsidRDefault="00AA41EB" w:rsidP="00BC2502">
            <w:pPr>
              <w:jc w:val="both"/>
            </w:pPr>
          </w:p>
        </w:tc>
      </w:tr>
      <w:tr w:rsidR="00AA41EB" w:rsidRPr="00BA0BD0" w14:paraId="006C2F69" w14:textId="77777777" w:rsidTr="001523E2">
        <w:trPr>
          <w:trHeight w:val="283"/>
        </w:trPr>
        <w:tc>
          <w:tcPr>
            <w:tcW w:w="3862" w:type="pct"/>
            <w:shd w:val="clear" w:color="auto" w:fill="auto"/>
          </w:tcPr>
          <w:p w14:paraId="0FF923CB" w14:textId="77777777" w:rsidR="00AA41EB" w:rsidRDefault="00AA41EB" w:rsidP="00BC2502">
            <w:r>
              <w:rPr>
                <w:noProof/>
                <w:lang w:eastAsia="en-NZ"/>
              </w:rPr>
              <w:drawing>
                <wp:inline distT="0" distB="0" distL="0" distR="0" wp14:anchorId="71BC88AC" wp14:editId="68D42B03">
                  <wp:extent cx="4899660" cy="3142908"/>
                  <wp:effectExtent l="0" t="0" r="15240" b="63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c>
          <w:tcPr>
            <w:tcW w:w="1138" w:type="pct"/>
            <w:shd w:val="clear" w:color="auto" w:fill="auto"/>
          </w:tcPr>
          <w:p w14:paraId="761AE265" w14:textId="55E1AB39" w:rsidR="00AA41EB" w:rsidRPr="000261E9" w:rsidRDefault="00AA41EB" w:rsidP="00AB3D14">
            <w:r w:rsidRPr="000261E9">
              <w:rPr>
                <w:rStyle w:val="Strong"/>
                <w:b w:val="0"/>
              </w:rPr>
              <w:t>Across main urban areas, New Zealanders travel an average of 2,9</w:t>
            </w:r>
            <w:r>
              <w:rPr>
                <w:rStyle w:val="Strong"/>
                <w:b w:val="0"/>
              </w:rPr>
              <w:t>85</w:t>
            </w:r>
            <w:r w:rsidR="00FC73BB">
              <w:rPr>
                <w:rStyle w:val="Strong"/>
                <w:b w:val="0"/>
              </w:rPr>
              <w:t>k</w:t>
            </w:r>
            <w:r w:rsidRPr="000261E9">
              <w:rPr>
                <w:rStyle w:val="Strong"/>
                <w:b w:val="0"/>
              </w:rPr>
              <w:t xml:space="preserve">m </w:t>
            </w:r>
            <w:r w:rsidR="00FC73BB">
              <w:rPr>
                <w:rStyle w:val="Strong"/>
                <w:b w:val="0"/>
              </w:rPr>
              <w:t xml:space="preserve">on weekdays </w:t>
            </w:r>
            <w:r w:rsidRPr="000261E9">
              <w:rPr>
                <w:rStyle w:val="Strong"/>
                <w:b w:val="0"/>
              </w:rPr>
              <w:t>per year in single occupancy vehicles (i.e. as a driver with no passengers). This includes travel to and from work but does not include travel as part of one’s work (e.g. taxi driver</w:t>
            </w:r>
            <w:r w:rsidR="00FC73BB">
              <w:rPr>
                <w:rStyle w:val="Strong"/>
                <w:b w:val="0"/>
              </w:rPr>
              <w:t>s</w:t>
            </w:r>
            <w:r w:rsidRPr="000261E9">
              <w:rPr>
                <w:rStyle w:val="Strong"/>
                <w:b w:val="0"/>
              </w:rPr>
              <w:t xml:space="preserve">, delivery drivers, tradespeople driving between jobs, travel to meetings </w:t>
            </w:r>
            <w:r>
              <w:rPr>
                <w:rStyle w:val="Strong"/>
                <w:b w:val="0"/>
              </w:rPr>
              <w:t>etc</w:t>
            </w:r>
            <w:r w:rsidRPr="000261E9">
              <w:rPr>
                <w:rStyle w:val="Strong"/>
                <w:b w:val="0"/>
              </w:rPr>
              <w:t xml:space="preserve">). </w:t>
            </w:r>
          </w:p>
        </w:tc>
      </w:tr>
    </w:tbl>
    <w:p w14:paraId="51638637" w14:textId="77777777" w:rsidR="00617F7D" w:rsidRDefault="00AA41EB" w:rsidP="00C20445">
      <w:pPr>
        <w:pStyle w:val="Heading1"/>
        <w:ind w:left="0"/>
        <w:rPr>
          <w:color w:val="B4D012"/>
        </w:rPr>
      </w:pPr>
      <w:r w:rsidRPr="00C20445">
        <w:rPr>
          <w:noProof/>
          <w:color w:val="B4D012"/>
          <w:lang w:bidi="ar-SA"/>
        </w:rPr>
        <mc:AlternateContent>
          <mc:Choice Requires="wps">
            <w:drawing>
              <wp:anchor distT="45720" distB="45720" distL="114300" distR="114300" simplePos="0" relativeHeight="251688960" behindDoc="1" locked="0" layoutInCell="1" allowOverlap="1" wp14:anchorId="2E830E19" wp14:editId="74C0A028">
                <wp:simplePos x="0" y="0"/>
                <wp:positionH relativeFrom="margin">
                  <wp:align>right</wp:align>
                </wp:positionH>
                <wp:positionV relativeFrom="paragraph">
                  <wp:posOffset>469265</wp:posOffset>
                </wp:positionV>
                <wp:extent cx="6656070" cy="1404620"/>
                <wp:effectExtent l="0" t="0" r="11430" b="22225"/>
                <wp:wrapTight wrapText="bothSides">
                  <wp:wrapPolygon edited="0">
                    <wp:start x="0" y="0"/>
                    <wp:lineTo x="0" y="21662"/>
                    <wp:lineTo x="21575" y="21662"/>
                    <wp:lineTo x="2157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6070" cy="1404620"/>
                        </a:xfrm>
                        <a:prstGeom prst="rect">
                          <a:avLst/>
                        </a:prstGeom>
                        <a:solidFill>
                          <a:schemeClr val="bg1">
                            <a:lumMod val="85000"/>
                          </a:schemeClr>
                        </a:solidFill>
                        <a:ln>
                          <a:headEnd/>
                          <a:tailEnd/>
                        </a:ln>
                      </wps:spPr>
                      <wps:style>
                        <a:lnRef idx="2">
                          <a:schemeClr val="dk1"/>
                        </a:lnRef>
                        <a:fillRef idx="1">
                          <a:schemeClr val="lt1"/>
                        </a:fillRef>
                        <a:effectRef idx="0">
                          <a:schemeClr val="dk1"/>
                        </a:effectRef>
                        <a:fontRef idx="minor">
                          <a:schemeClr val="dk1"/>
                        </a:fontRef>
                      </wps:style>
                      <wps:txbx>
                        <w:txbxContent>
                          <w:p w14:paraId="76BDEFF0" w14:textId="77777777" w:rsidR="00BC0FB3" w:rsidRPr="004F7040" w:rsidRDefault="00BC0FB3" w:rsidP="00617F7D">
                            <w:pPr>
                              <w:keepNext/>
                              <w:spacing w:after="0"/>
                              <w:ind w:left="-45"/>
                              <w:rPr>
                                <w:rFonts w:asciiTheme="minorHAnsi" w:hAnsiTheme="minorHAnsi" w:cstheme="minorHAnsi"/>
                                <w:b/>
                                <w:color w:val="000000" w:themeColor="text1"/>
                                <w:sz w:val="16"/>
                                <w:szCs w:val="16"/>
                              </w:rPr>
                            </w:pPr>
                            <w:r w:rsidRPr="004F7040">
                              <w:rPr>
                                <w:rFonts w:asciiTheme="minorHAnsi" w:hAnsiTheme="minorHAnsi" w:cstheme="minorHAnsi"/>
                                <w:b/>
                                <w:color w:val="000000" w:themeColor="text1"/>
                                <w:sz w:val="16"/>
                                <w:szCs w:val="16"/>
                              </w:rPr>
                              <w:t>About these indicators</w:t>
                            </w:r>
                          </w:p>
                          <w:p w14:paraId="6FAAB110" w14:textId="77777777" w:rsidR="00BC0FB3" w:rsidRPr="004F7040" w:rsidRDefault="00BC0FB3" w:rsidP="00617F7D">
                            <w:pPr>
                              <w:pStyle w:val="ListParagraph"/>
                              <w:numPr>
                                <w:ilvl w:val="0"/>
                                <w:numId w:val="3"/>
                              </w:numPr>
                              <w:ind w:left="674"/>
                              <w:rPr>
                                <w:rStyle w:val="Strong"/>
                                <w:rFonts w:asciiTheme="minorHAnsi" w:hAnsiTheme="minorHAnsi" w:cstheme="minorHAnsi"/>
                                <w:b w:val="0"/>
                                <w:sz w:val="16"/>
                                <w:szCs w:val="16"/>
                              </w:rPr>
                            </w:pPr>
                            <w:r w:rsidRPr="004F7040">
                              <w:rPr>
                                <w:rStyle w:val="Strong"/>
                                <w:rFonts w:asciiTheme="minorHAnsi" w:hAnsiTheme="minorHAnsi" w:cstheme="minorHAnsi"/>
                                <w:b w:val="0"/>
                                <w:sz w:val="16"/>
                                <w:szCs w:val="16"/>
                              </w:rPr>
                              <w:t xml:space="preserve">Mode share data presented in this report comes from the </w:t>
                            </w:r>
                            <w:hyperlink r:id="rId34" w:history="1">
                              <w:r w:rsidRPr="004F7040">
                                <w:rPr>
                                  <w:rStyle w:val="Hyperlink"/>
                                  <w:rFonts w:asciiTheme="minorHAnsi" w:hAnsiTheme="minorHAnsi" w:cstheme="minorHAnsi"/>
                                  <w:sz w:val="16"/>
                                  <w:szCs w:val="16"/>
                                </w:rPr>
                                <w:t>Household Travel Survey</w:t>
                              </w:r>
                            </w:hyperlink>
                            <w:r w:rsidRPr="004F7040">
                              <w:rPr>
                                <w:rStyle w:val="Strong"/>
                                <w:rFonts w:asciiTheme="minorHAnsi" w:hAnsiTheme="minorHAnsi" w:cstheme="minorHAnsi"/>
                                <w:b w:val="0"/>
                                <w:sz w:val="16"/>
                                <w:szCs w:val="16"/>
                              </w:rPr>
                              <w:t>, a face-to-face in-home survey with a nationally representative sample. This survey collects information on household travel, including travel to and from work but does not include travel as part of one’s work (e.g. taxi driver, delivery drivers, tradespeople driving between jobs, travel to meetings etc.)</w:t>
                            </w:r>
                          </w:p>
                          <w:p w14:paraId="02579BCB" w14:textId="1A37F179" w:rsidR="00BC0FB3" w:rsidRPr="004F7040" w:rsidRDefault="00BC0FB3" w:rsidP="00617F7D">
                            <w:pPr>
                              <w:pStyle w:val="ListParagraph"/>
                              <w:numPr>
                                <w:ilvl w:val="0"/>
                                <w:numId w:val="3"/>
                              </w:numPr>
                              <w:ind w:left="674"/>
                              <w:rPr>
                                <w:rFonts w:asciiTheme="minorHAnsi" w:hAnsiTheme="minorHAnsi" w:cstheme="minorHAnsi"/>
                                <w:bCs/>
                                <w:color w:val="000000" w:themeColor="text1"/>
                                <w:sz w:val="16"/>
                                <w:szCs w:val="16"/>
                              </w:rPr>
                            </w:pPr>
                            <w:r w:rsidRPr="004F7040">
                              <w:rPr>
                                <w:rStyle w:val="Strong"/>
                                <w:rFonts w:asciiTheme="minorHAnsi" w:hAnsiTheme="minorHAnsi" w:cstheme="minorHAnsi"/>
                                <w:b w:val="0"/>
                                <w:sz w:val="16"/>
                                <w:szCs w:val="16"/>
                              </w:rPr>
                              <w:t xml:space="preserve">Given the low prevalence for some travel modes, mode share data is provided as a three-year average. </w:t>
                            </w:r>
                            <w:r w:rsidRPr="004F7040">
                              <w:rPr>
                                <w:rFonts w:asciiTheme="minorHAnsi" w:hAnsiTheme="minorHAnsi" w:cstheme="minorHAnsi"/>
                                <w:sz w:val="16"/>
                                <w:szCs w:val="16"/>
                              </w:rPr>
                              <w:t xml:space="preserve">Recent changes to data collection methodologies and the delay in the release of 2018 Census results, mean that analysis required to link </w:t>
                            </w:r>
                            <w:r w:rsidRPr="004F7040">
                              <w:rPr>
                                <w:rStyle w:val="Strong"/>
                                <w:rFonts w:asciiTheme="minorHAnsi" w:hAnsiTheme="minorHAnsi" w:cstheme="minorHAnsi"/>
                                <w:b w:val="0"/>
                                <w:sz w:val="16"/>
                                <w:szCs w:val="16"/>
                              </w:rPr>
                              <w:t xml:space="preserve">Household Travel Survey </w:t>
                            </w:r>
                            <w:r w:rsidRPr="004F7040">
                              <w:rPr>
                                <w:rFonts w:asciiTheme="minorHAnsi" w:hAnsiTheme="minorHAnsi" w:cstheme="minorHAnsi"/>
                                <w:sz w:val="16"/>
                                <w:szCs w:val="16"/>
                              </w:rPr>
                              <w:t>time series data into a meaningful trend analysis is currently not possible</w:t>
                            </w:r>
                            <w:r w:rsidRPr="004F7040">
                              <w:rPr>
                                <w:rStyle w:val="Strong"/>
                                <w:rFonts w:asciiTheme="minorHAnsi" w:hAnsiTheme="minorHAnsi" w:cstheme="minorHAnsi"/>
                                <w:b w:val="0"/>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830E19" id="_x0000_s1027" type="#_x0000_t202" style="position:absolute;margin-left:472.9pt;margin-top:36.95pt;width:524.1pt;height:110.6pt;z-index:-25162752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" fillcolor="#d8d8d8 [2732]" strokecolor="black [3200]" strokeweight="1pt">
                <v:textbox style="mso-fit-shape-to-text:t">
                  <w:txbxContent>
                    <w:p w14:paraId="76BDEFF0" w14:textId="77777777" w:rsidR="00BC0FB3" w:rsidRPr="004F7040" w:rsidRDefault="00BC0FB3" w:rsidP="00617F7D">
                      <w:pPr>
                        <w:keepNext/>
                        <w:spacing w:after="0"/>
                        <w:ind w:left="-45"/>
                        <w:rPr>
                          <w:rFonts w:asciiTheme="minorHAnsi" w:hAnsiTheme="minorHAnsi" w:cstheme="minorHAnsi"/>
                          <w:b/>
                          <w:color w:val="000000" w:themeColor="text1"/>
                          <w:sz w:val="16"/>
                          <w:szCs w:val="16"/>
                        </w:rPr>
                      </w:pPr>
                      <w:r w:rsidRPr="004F7040">
                        <w:rPr>
                          <w:rFonts w:asciiTheme="minorHAnsi" w:hAnsiTheme="minorHAnsi" w:cstheme="minorHAnsi"/>
                          <w:b/>
                          <w:color w:val="000000" w:themeColor="text1"/>
                          <w:sz w:val="16"/>
                          <w:szCs w:val="16"/>
                        </w:rPr>
                        <w:t>About these indicators</w:t>
                      </w:r>
                    </w:p>
                    <w:p w14:paraId="6FAAB110" w14:textId="77777777" w:rsidR="00BC0FB3" w:rsidRPr="004F7040" w:rsidRDefault="00BC0FB3" w:rsidP="00617F7D">
                      <w:pPr>
                        <w:pStyle w:val="ListParagraph"/>
                        <w:numPr>
                          <w:ilvl w:val="0"/>
                          <w:numId w:val="3"/>
                        </w:numPr>
                        <w:ind w:left="674"/>
                        <w:rPr>
                          <w:rStyle w:val="Strong"/>
                          <w:rFonts w:asciiTheme="minorHAnsi" w:hAnsiTheme="minorHAnsi" w:cstheme="minorHAnsi"/>
                          <w:b w:val="0"/>
                          <w:sz w:val="16"/>
                          <w:szCs w:val="16"/>
                        </w:rPr>
                      </w:pPr>
                      <w:r w:rsidRPr="004F7040">
                        <w:rPr>
                          <w:rStyle w:val="Strong"/>
                          <w:rFonts w:asciiTheme="minorHAnsi" w:hAnsiTheme="minorHAnsi" w:cstheme="minorHAnsi"/>
                          <w:b w:val="0"/>
                          <w:sz w:val="16"/>
                          <w:szCs w:val="16"/>
                        </w:rPr>
                        <w:t xml:space="preserve">Mode share data presented in this report comes from the </w:t>
                      </w:r>
                      <w:hyperlink r:id="rId35" w:history="1">
                        <w:r w:rsidRPr="004F7040">
                          <w:rPr>
                            <w:rStyle w:val="Hyperlink"/>
                            <w:rFonts w:asciiTheme="minorHAnsi" w:hAnsiTheme="minorHAnsi" w:cstheme="minorHAnsi"/>
                            <w:sz w:val="16"/>
                            <w:szCs w:val="16"/>
                          </w:rPr>
                          <w:t>Household Travel Survey</w:t>
                        </w:r>
                      </w:hyperlink>
                      <w:r w:rsidRPr="004F7040">
                        <w:rPr>
                          <w:rStyle w:val="Strong"/>
                          <w:rFonts w:asciiTheme="minorHAnsi" w:hAnsiTheme="minorHAnsi" w:cstheme="minorHAnsi"/>
                          <w:b w:val="0"/>
                          <w:sz w:val="16"/>
                          <w:szCs w:val="16"/>
                        </w:rPr>
                        <w:t>, a face-to-face in-home survey with a nationally representative sample. This survey collects information on household travel, including travel to and from work but does not include travel as part of one’s work (e.g. taxi driver, delivery drivers, tradespeople driving between jobs, travel to meetings etc.)</w:t>
                      </w:r>
                    </w:p>
                    <w:p w14:paraId="02579BCB" w14:textId="1A37F179" w:rsidR="00BC0FB3" w:rsidRPr="004F7040" w:rsidRDefault="00BC0FB3" w:rsidP="00617F7D">
                      <w:pPr>
                        <w:pStyle w:val="ListParagraph"/>
                        <w:numPr>
                          <w:ilvl w:val="0"/>
                          <w:numId w:val="3"/>
                        </w:numPr>
                        <w:ind w:left="674"/>
                        <w:rPr>
                          <w:rFonts w:asciiTheme="minorHAnsi" w:hAnsiTheme="minorHAnsi" w:cstheme="minorHAnsi"/>
                          <w:bCs/>
                          <w:color w:val="000000" w:themeColor="text1"/>
                          <w:sz w:val="16"/>
                          <w:szCs w:val="16"/>
                        </w:rPr>
                      </w:pPr>
                      <w:r w:rsidRPr="004F7040">
                        <w:rPr>
                          <w:rStyle w:val="Strong"/>
                          <w:rFonts w:asciiTheme="minorHAnsi" w:hAnsiTheme="minorHAnsi" w:cstheme="minorHAnsi"/>
                          <w:b w:val="0"/>
                          <w:sz w:val="16"/>
                          <w:szCs w:val="16"/>
                        </w:rPr>
                        <w:t xml:space="preserve">Given the low prevalence for some travel modes, mode share data is provided as a three-year average. </w:t>
                      </w:r>
                      <w:r w:rsidRPr="004F7040">
                        <w:rPr>
                          <w:rFonts w:asciiTheme="minorHAnsi" w:hAnsiTheme="minorHAnsi" w:cstheme="minorHAnsi"/>
                          <w:sz w:val="16"/>
                          <w:szCs w:val="16"/>
                        </w:rPr>
                        <w:t xml:space="preserve">Recent changes to data collection methodologies and the delay in the release of 2018 Census results, mean that analysis required to link </w:t>
                      </w:r>
                      <w:r w:rsidRPr="004F7040">
                        <w:rPr>
                          <w:rStyle w:val="Strong"/>
                          <w:rFonts w:asciiTheme="minorHAnsi" w:hAnsiTheme="minorHAnsi" w:cstheme="minorHAnsi"/>
                          <w:b w:val="0"/>
                          <w:sz w:val="16"/>
                          <w:szCs w:val="16"/>
                        </w:rPr>
                        <w:t xml:space="preserve">Household Travel Survey </w:t>
                      </w:r>
                      <w:r w:rsidRPr="004F7040">
                        <w:rPr>
                          <w:rFonts w:asciiTheme="minorHAnsi" w:hAnsiTheme="minorHAnsi" w:cstheme="minorHAnsi"/>
                          <w:sz w:val="16"/>
                          <w:szCs w:val="16"/>
                        </w:rPr>
                        <w:t>time series data into a meaningful trend analysis is currently not possible</w:t>
                      </w:r>
                      <w:r w:rsidRPr="004F7040">
                        <w:rPr>
                          <w:rStyle w:val="Strong"/>
                          <w:rFonts w:asciiTheme="minorHAnsi" w:hAnsiTheme="minorHAnsi" w:cstheme="minorHAnsi"/>
                          <w:b w:val="0"/>
                          <w:sz w:val="16"/>
                          <w:szCs w:val="16"/>
                        </w:rPr>
                        <w:t>.</w:t>
                      </w:r>
                    </w:p>
                  </w:txbxContent>
                </v:textbox>
                <w10:wrap type="tight" anchorx="margin"/>
              </v:shape>
            </w:pict>
          </mc:Fallback>
        </mc:AlternateContent>
      </w:r>
    </w:p>
    <w:p w14:paraId="7220D939" w14:textId="4A2A43A5" w:rsidR="00617F7D" w:rsidRDefault="00617F7D" w:rsidP="00C20445">
      <w:pPr>
        <w:pStyle w:val="Heading1"/>
        <w:ind w:left="0"/>
        <w:rPr>
          <w:color w:val="B4D012"/>
        </w:rPr>
      </w:pPr>
    </w:p>
    <w:p w14:paraId="5271EB14" w14:textId="77544BCF" w:rsidR="00800A88" w:rsidRDefault="00800A88" w:rsidP="00C20445">
      <w:pPr>
        <w:pStyle w:val="Heading1"/>
        <w:ind w:left="0"/>
        <w:rPr>
          <w:color w:val="B4D012"/>
        </w:rPr>
      </w:pPr>
    </w:p>
    <w:p w14:paraId="77ED3377" w14:textId="7F83307C" w:rsidR="00800A88" w:rsidRDefault="00800A88" w:rsidP="00C20445">
      <w:pPr>
        <w:pStyle w:val="Heading1"/>
        <w:ind w:left="0"/>
        <w:rPr>
          <w:color w:val="B4D012"/>
        </w:rPr>
      </w:pPr>
    </w:p>
    <w:p w14:paraId="66E80313" w14:textId="77777777" w:rsidR="00800A88" w:rsidRDefault="00800A88" w:rsidP="00C20445">
      <w:pPr>
        <w:pStyle w:val="Heading1"/>
        <w:ind w:left="0"/>
        <w:rPr>
          <w:color w:val="B4D012"/>
        </w:rPr>
      </w:pPr>
    </w:p>
    <w:p w14:paraId="713A64ED" w14:textId="0D7FDA01" w:rsidR="00AA41EB" w:rsidRDefault="0033170A" w:rsidP="00C20445">
      <w:pPr>
        <w:pStyle w:val="Heading1"/>
        <w:ind w:left="0"/>
        <w:rPr>
          <w:color w:val="B4D012"/>
        </w:rPr>
      </w:pPr>
      <w:bookmarkStart w:id="7" w:name="_Hlk70425517"/>
      <w:r>
        <w:rPr>
          <w:color w:val="B4D012"/>
        </w:rPr>
        <w:t>Investment in access</w:t>
      </w:r>
    </w:p>
    <w:p w14:paraId="61AA29C7" w14:textId="18A3C579" w:rsidR="00216868" w:rsidRPr="00F424E5" w:rsidRDefault="0033170A" w:rsidP="0033170A">
      <w:r w:rsidRPr="00F424E5">
        <w:t>In 2019/20, a total of $</w:t>
      </w:r>
      <w:r>
        <w:t>3.079</w:t>
      </w:r>
      <w:r w:rsidRPr="00F424E5">
        <w:t xml:space="preserve"> billion </w:t>
      </w:r>
      <w:r w:rsidR="00216868">
        <w:t xml:space="preserve">of the investment </w:t>
      </w:r>
      <w:r w:rsidRPr="00F424E5">
        <w:t>across various activity classes</w:t>
      </w:r>
      <w:r w:rsidR="00216868">
        <w:t xml:space="preserve"> contributed to the GPS priority on Access.</w:t>
      </w:r>
    </w:p>
    <w:tbl>
      <w:tblPr>
        <w:tblStyle w:val="GridTable4-Accent1"/>
        <w:tblW w:w="10456" w:type="dxa"/>
        <w:shd w:val="clear" w:color="auto" w:fill="B4D012"/>
        <w:tblLook w:val="04A0" w:firstRow="1" w:lastRow="0" w:firstColumn="1" w:lastColumn="0" w:noHBand="0" w:noVBand="1"/>
      </w:tblPr>
      <w:tblGrid>
        <w:gridCol w:w="3601"/>
        <w:gridCol w:w="1510"/>
        <w:gridCol w:w="1688"/>
        <w:gridCol w:w="1514"/>
        <w:gridCol w:w="2143"/>
      </w:tblGrid>
      <w:tr w:rsidR="0033170A" w:rsidRPr="00F424E5" w14:paraId="3C1B1D2B" w14:textId="77777777" w:rsidTr="004F70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vMerge w:val="restart"/>
            <w:shd w:val="clear" w:color="auto" w:fill="B4D012"/>
          </w:tcPr>
          <w:p w14:paraId="377616B6" w14:textId="77777777" w:rsidR="0033170A" w:rsidRPr="004F7040" w:rsidRDefault="0033170A" w:rsidP="004F7040">
            <w:pPr>
              <w:pStyle w:val="BodyText"/>
              <w:rPr>
                <w:szCs w:val="20"/>
              </w:rPr>
            </w:pPr>
            <w:r w:rsidRPr="004F7040">
              <w:rPr>
                <w:szCs w:val="20"/>
              </w:rPr>
              <w:t>Activity class</w:t>
            </w:r>
          </w:p>
        </w:tc>
        <w:tc>
          <w:tcPr>
            <w:tcW w:w="3198" w:type="dxa"/>
            <w:gridSpan w:val="2"/>
            <w:shd w:val="clear" w:color="auto" w:fill="B4D012"/>
          </w:tcPr>
          <w:p w14:paraId="485211AB" w14:textId="77777777" w:rsidR="0033170A" w:rsidRPr="004F7040" w:rsidRDefault="0033170A" w:rsidP="004F7040">
            <w:pPr>
              <w:pStyle w:val="BodyText"/>
              <w:cnfStyle w:val="100000000000" w:firstRow="1" w:lastRow="0" w:firstColumn="0" w:lastColumn="0" w:oddVBand="0" w:evenVBand="0" w:oddHBand="0" w:evenHBand="0" w:firstRowFirstColumn="0" w:firstRowLastColumn="0" w:lastRowFirstColumn="0" w:lastRowLastColumn="0"/>
              <w:rPr>
                <w:szCs w:val="20"/>
              </w:rPr>
            </w:pPr>
            <w:r w:rsidRPr="004F7040">
              <w:rPr>
                <w:szCs w:val="20"/>
              </w:rPr>
              <w:t>2018/19</w:t>
            </w:r>
          </w:p>
        </w:tc>
        <w:tc>
          <w:tcPr>
            <w:tcW w:w="3657" w:type="dxa"/>
            <w:gridSpan w:val="2"/>
            <w:shd w:val="clear" w:color="auto" w:fill="B4D012"/>
          </w:tcPr>
          <w:p w14:paraId="0F7CA6E3" w14:textId="77777777" w:rsidR="0033170A" w:rsidRPr="004F7040" w:rsidRDefault="0033170A" w:rsidP="004F7040">
            <w:pPr>
              <w:pStyle w:val="BodyText"/>
              <w:cnfStyle w:val="100000000000" w:firstRow="1" w:lastRow="0" w:firstColumn="0" w:lastColumn="0" w:oddVBand="0" w:evenVBand="0" w:oddHBand="0" w:evenHBand="0" w:firstRowFirstColumn="0" w:firstRowLastColumn="0" w:lastRowFirstColumn="0" w:lastRowLastColumn="0"/>
              <w:rPr>
                <w:szCs w:val="20"/>
              </w:rPr>
            </w:pPr>
            <w:r w:rsidRPr="004F7040">
              <w:rPr>
                <w:szCs w:val="20"/>
              </w:rPr>
              <w:t xml:space="preserve">2019/20 </w:t>
            </w:r>
          </w:p>
        </w:tc>
      </w:tr>
      <w:tr w:rsidR="0033170A" w:rsidRPr="00F424E5" w14:paraId="2FEC6CDE" w14:textId="77777777" w:rsidTr="004F7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vMerge/>
            <w:shd w:val="clear" w:color="auto" w:fill="B4D012"/>
          </w:tcPr>
          <w:p w14:paraId="773AD821" w14:textId="77777777" w:rsidR="0033170A" w:rsidRPr="004F7040" w:rsidRDefault="0033170A" w:rsidP="004F7040">
            <w:pPr>
              <w:pStyle w:val="BodyText"/>
              <w:rPr>
                <w:color w:val="FFFFFF" w:themeColor="background1"/>
                <w:szCs w:val="20"/>
              </w:rPr>
            </w:pPr>
          </w:p>
        </w:tc>
        <w:tc>
          <w:tcPr>
            <w:tcW w:w="1510" w:type="dxa"/>
            <w:shd w:val="clear" w:color="auto" w:fill="B4D012"/>
          </w:tcPr>
          <w:p w14:paraId="27825E34" w14:textId="67D43470" w:rsidR="0033170A" w:rsidRPr="004F7040" w:rsidRDefault="0033170A" w:rsidP="004F7040">
            <w:pPr>
              <w:pStyle w:val="BodyText"/>
              <w:cnfStyle w:val="000000100000" w:firstRow="0" w:lastRow="0" w:firstColumn="0" w:lastColumn="0" w:oddVBand="0" w:evenVBand="0" w:oddHBand="1" w:evenHBand="0" w:firstRowFirstColumn="0" w:firstRowLastColumn="0" w:lastRowFirstColumn="0" w:lastRowLastColumn="0"/>
              <w:rPr>
                <w:b/>
                <w:color w:val="FFFFFF" w:themeColor="background1"/>
                <w:szCs w:val="20"/>
              </w:rPr>
            </w:pPr>
            <w:r w:rsidRPr="004F7040">
              <w:rPr>
                <w:b/>
                <w:color w:val="FFFFFF" w:themeColor="background1"/>
                <w:szCs w:val="20"/>
              </w:rPr>
              <w:t>$</w:t>
            </w:r>
            <w:r w:rsidR="00344826" w:rsidRPr="004F7040">
              <w:rPr>
                <w:b/>
                <w:color w:val="FFFFFF" w:themeColor="background1"/>
                <w:szCs w:val="20"/>
              </w:rPr>
              <w:t xml:space="preserve"> million</w:t>
            </w:r>
          </w:p>
        </w:tc>
        <w:tc>
          <w:tcPr>
            <w:tcW w:w="1688" w:type="dxa"/>
            <w:shd w:val="clear" w:color="auto" w:fill="B4D012"/>
          </w:tcPr>
          <w:p w14:paraId="4F64C03D" w14:textId="77777777" w:rsidR="0033170A" w:rsidRPr="004F7040" w:rsidRDefault="0033170A" w:rsidP="004F7040">
            <w:pPr>
              <w:pStyle w:val="BodyText"/>
              <w:cnfStyle w:val="000000100000" w:firstRow="0" w:lastRow="0" w:firstColumn="0" w:lastColumn="0" w:oddVBand="0" w:evenVBand="0" w:oddHBand="1" w:evenHBand="0" w:firstRowFirstColumn="0" w:firstRowLastColumn="0" w:lastRowFirstColumn="0" w:lastRowLastColumn="0"/>
              <w:rPr>
                <w:b/>
                <w:color w:val="FFFFFF" w:themeColor="background1"/>
                <w:szCs w:val="20"/>
              </w:rPr>
            </w:pPr>
            <w:r w:rsidRPr="004F7040">
              <w:rPr>
                <w:b/>
                <w:color w:val="FFFFFF" w:themeColor="background1"/>
                <w:szCs w:val="20"/>
              </w:rPr>
              <w:t>%</w:t>
            </w:r>
          </w:p>
        </w:tc>
        <w:tc>
          <w:tcPr>
            <w:tcW w:w="1514" w:type="dxa"/>
            <w:shd w:val="clear" w:color="auto" w:fill="B4D012"/>
          </w:tcPr>
          <w:p w14:paraId="672FCBB6" w14:textId="47385EE8" w:rsidR="0033170A" w:rsidRPr="004F7040" w:rsidRDefault="00274E4D" w:rsidP="004F7040">
            <w:pPr>
              <w:pStyle w:val="BodyText"/>
              <w:cnfStyle w:val="000000100000" w:firstRow="0" w:lastRow="0" w:firstColumn="0" w:lastColumn="0" w:oddVBand="0" w:evenVBand="0" w:oddHBand="1" w:evenHBand="0" w:firstRowFirstColumn="0" w:firstRowLastColumn="0" w:lastRowFirstColumn="0" w:lastRowLastColumn="0"/>
              <w:rPr>
                <w:b/>
                <w:color w:val="FFFFFF" w:themeColor="background1"/>
                <w:szCs w:val="20"/>
              </w:rPr>
            </w:pPr>
            <w:r w:rsidRPr="004F7040">
              <w:rPr>
                <w:b/>
                <w:color w:val="FFFFFF" w:themeColor="background1"/>
                <w:szCs w:val="20"/>
              </w:rPr>
              <w:t>$</w:t>
            </w:r>
            <w:r w:rsidR="00344826" w:rsidRPr="004F7040">
              <w:rPr>
                <w:b/>
                <w:color w:val="FFFFFF" w:themeColor="background1"/>
                <w:szCs w:val="20"/>
              </w:rPr>
              <w:t xml:space="preserve"> million</w:t>
            </w:r>
            <w:r w:rsidRPr="004F7040">
              <w:rPr>
                <w:b/>
                <w:color w:val="FFFFFF" w:themeColor="background1"/>
                <w:szCs w:val="20"/>
              </w:rPr>
              <w:t xml:space="preserve"> </w:t>
            </w:r>
          </w:p>
        </w:tc>
        <w:tc>
          <w:tcPr>
            <w:tcW w:w="2143" w:type="dxa"/>
            <w:shd w:val="clear" w:color="auto" w:fill="B4D012"/>
          </w:tcPr>
          <w:p w14:paraId="2FA6E002" w14:textId="77777777" w:rsidR="0033170A" w:rsidRPr="004F7040" w:rsidRDefault="0033170A" w:rsidP="004F7040">
            <w:pPr>
              <w:pStyle w:val="BodyText"/>
              <w:cnfStyle w:val="000000100000" w:firstRow="0" w:lastRow="0" w:firstColumn="0" w:lastColumn="0" w:oddVBand="0" w:evenVBand="0" w:oddHBand="1" w:evenHBand="0" w:firstRowFirstColumn="0" w:firstRowLastColumn="0" w:lastRowFirstColumn="0" w:lastRowLastColumn="0"/>
              <w:rPr>
                <w:b/>
                <w:color w:val="FFFFFF" w:themeColor="background1"/>
                <w:szCs w:val="20"/>
              </w:rPr>
            </w:pPr>
            <w:r w:rsidRPr="004F7040">
              <w:rPr>
                <w:b/>
                <w:color w:val="FFFFFF" w:themeColor="background1"/>
                <w:szCs w:val="20"/>
              </w:rPr>
              <w:t>%</w:t>
            </w:r>
          </w:p>
        </w:tc>
      </w:tr>
      <w:tr w:rsidR="006A3496" w:rsidRPr="00F424E5" w14:paraId="13C9876E" w14:textId="77777777" w:rsidTr="004F7040">
        <w:tc>
          <w:tcPr>
            <w:cnfStyle w:val="001000000000" w:firstRow="0" w:lastRow="0" w:firstColumn="1" w:lastColumn="0" w:oddVBand="0" w:evenVBand="0" w:oddHBand="0" w:evenHBand="0" w:firstRowFirstColumn="0" w:firstRowLastColumn="0" w:lastRowFirstColumn="0" w:lastRowLastColumn="0"/>
            <w:tcW w:w="3601" w:type="dxa"/>
            <w:shd w:val="clear" w:color="auto" w:fill="EDF8AA"/>
          </w:tcPr>
          <w:p w14:paraId="1C1946B5" w14:textId="77777777" w:rsidR="006A3496" w:rsidRPr="00224A65" w:rsidRDefault="006A3496" w:rsidP="006A3496">
            <w:pPr>
              <w:rPr>
                <w:b w:val="0"/>
              </w:rPr>
            </w:pPr>
            <w:r w:rsidRPr="00224A65">
              <w:rPr>
                <w:b w:val="0"/>
              </w:rPr>
              <w:t>State highway improvements</w:t>
            </w:r>
          </w:p>
        </w:tc>
        <w:tc>
          <w:tcPr>
            <w:tcW w:w="1510" w:type="dxa"/>
            <w:shd w:val="clear" w:color="auto" w:fill="EDF8AA"/>
          </w:tcPr>
          <w:p w14:paraId="10BA613A" w14:textId="7142EEAB" w:rsidR="006A3496" w:rsidRPr="00F424E5" w:rsidRDefault="006A3496" w:rsidP="00377147">
            <w:pPr>
              <w:jc w:val="right"/>
              <w:cnfStyle w:val="000000000000" w:firstRow="0" w:lastRow="0" w:firstColumn="0" w:lastColumn="0" w:oddVBand="0" w:evenVBand="0" w:oddHBand="0" w:evenHBand="0" w:firstRowFirstColumn="0" w:firstRowLastColumn="0" w:lastRowFirstColumn="0" w:lastRowLastColumn="0"/>
            </w:pPr>
            <w:r>
              <w:t>688</w:t>
            </w:r>
          </w:p>
        </w:tc>
        <w:tc>
          <w:tcPr>
            <w:tcW w:w="1688" w:type="dxa"/>
            <w:shd w:val="clear" w:color="auto" w:fill="EDF8AA"/>
          </w:tcPr>
          <w:p w14:paraId="5930AEE2" w14:textId="1D9516D5" w:rsidR="006A3496" w:rsidRPr="00F424E5" w:rsidRDefault="006A3496" w:rsidP="00377147">
            <w:pPr>
              <w:jc w:val="right"/>
              <w:cnfStyle w:val="000000000000" w:firstRow="0" w:lastRow="0" w:firstColumn="0" w:lastColumn="0" w:oddVBand="0" w:evenVBand="0" w:oddHBand="0" w:evenHBand="0" w:firstRowFirstColumn="0" w:firstRowLastColumn="0" w:lastRowFirstColumn="0" w:lastRowLastColumn="0"/>
            </w:pPr>
            <w:r>
              <w:t>24.00</w:t>
            </w:r>
          </w:p>
        </w:tc>
        <w:tc>
          <w:tcPr>
            <w:tcW w:w="1514" w:type="dxa"/>
            <w:shd w:val="clear" w:color="auto" w:fill="EDF8AA"/>
          </w:tcPr>
          <w:p w14:paraId="3BB1F283" w14:textId="60AAF4DB" w:rsidR="006A3496" w:rsidRPr="00F424E5" w:rsidRDefault="006A3496" w:rsidP="00377147">
            <w:pPr>
              <w:jc w:val="right"/>
              <w:cnfStyle w:val="000000000000" w:firstRow="0" w:lastRow="0" w:firstColumn="0" w:lastColumn="0" w:oddVBand="0" w:evenVBand="0" w:oddHBand="0" w:evenHBand="0" w:firstRowFirstColumn="0" w:firstRowLastColumn="0" w:lastRowFirstColumn="0" w:lastRowLastColumn="0"/>
            </w:pPr>
            <w:r>
              <w:t>731</w:t>
            </w:r>
          </w:p>
        </w:tc>
        <w:tc>
          <w:tcPr>
            <w:tcW w:w="2143" w:type="dxa"/>
            <w:shd w:val="clear" w:color="auto" w:fill="EDF8AA"/>
          </w:tcPr>
          <w:p w14:paraId="34B16056" w14:textId="58174701" w:rsidR="006A3496" w:rsidRPr="00F424E5" w:rsidRDefault="006A3496" w:rsidP="00377147">
            <w:pPr>
              <w:jc w:val="right"/>
              <w:cnfStyle w:val="000000000000" w:firstRow="0" w:lastRow="0" w:firstColumn="0" w:lastColumn="0" w:oddVBand="0" w:evenVBand="0" w:oddHBand="0" w:evenHBand="0" w:firstRowFirstColumn="0" w:firstRowLastColumn="0" w:lastRowFirstColumn="0" w:lastRowLastColumn="0"/>
            </w:pPr>
            <w:r>
              <w:t>23.80</w:t>
            </w:r>
          </w:p>
        </w:tc>
      </w:tr>
      <w:tr w:rsidR="006A3496" w:rsidRPr="00F424E5" w14:paraId="4FA64266" w14:textId="77777777" w:rsidTr="004F7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shd w:val="clear" w:color="auto" w:fill="FFFFFF" w:themeFill="background1"/>
          </w:tcPr>
          <w:p w14:paraId="355D45AD" w14:textId="77777777" w:rsidR="006A3496" w:rsidRPr="00224A65" w:rsidRDefault="006A3496" w:rsidP="006A3496">
            <w:pPr>
              <w:rPr>
                <w:b w:val="0"/>
              </w:rPr>
            </w:pPr>
            <w:r w:rsidRPr="00224A65">
              <w:rPr>
                <w:b w:val="0"/>
              </w:rPr>
              <w:t>State highway maintenance</w:t>
            </w:r>
          </w:p>
        </w:tc>
        <w:tc>
          <w:tcPr>
            <w:tcW w:w="1510" w:type="dxa"/>
            <w:shd w:val="clear" w:color="auto" w:fill="FFFFFF" w:themeFill="background1"/>
          </w:tcPr>
          <w:p w14:paraId="5646D8F6" w14:textId="7F8D554B" w:rsidR="006A3496" w:rsidRPr="00F424E5" w:rsidRDefault="006A3496" w:rsidP="00377147">
            <w:pPr>
              <w:jc w:val="right"/>
              <w:cnfStyle w:val="000000100000" w:firstRow="0" w:lastRow="0" w:firstColumn="0" w:lastColumn="0" w:oddVBand="0" w:evenVBand="0" w:oddHBand="1" w:evenHBand="0" w:firstRowFirstColumn="0" w:firstRowLastColumn="0" w:lastRowFirstColumn="0" w:lastRowLastColumn="0"/>
            </w:pPr>
            <w:r>
              <w:t>509</w:t>
            </w:r>
          </w:p>
        </w:tc>
        <w:tc>
          <w:tcPr>
            <w:tcW w:w="1688" w:type="dxa"/>
            <w:shd w:val="clear" w:color="auto" w:fill="FFFFFF" w:themeFill="background1"/>
          </w:tcPr>
          <w:p w14:paraId="76FE2A68" w14:textId="3ABEE520" w:rsidR="006A3496" w:rsidRPr="00F424E5" w:rsidRDefault="006A3496" w:rsidP="00377147">
            <w:pPr>
              <w:jc w:val="right"/>
              <w:cnfStyle w:val="000000100000" w:firstRow="0" w:lastRow="0" w:firstColumn="0" w:lastColumn="0" w:oddVBand="0" w:evenVBand="0" w:oddHBand="1" w:evenHBand="0" w:firstRowFirstColumn="0" w:firstRowLastColumn="0" w:lastRowFirstColumn="0" w:lastRowLastColumn="0"/>
            </w:pPr>
            <w:r>
              <w:t>17.70</w:t>
            </w:r>
          </w:p>
        </w:tc>
        <w:tc>
          <w:tcPr>
            <w:tcW w:w="1514" w:type="dxa"/>
            <w:shd w:val="clear" w:color="auto" w:fill="FFFFFF" w:themeFill="background1"/>
          </w:tcPr>
          <w:p w14:paraId="0FADDE35" w14:textId="19805F49" w:rsidR="006A3496" w:rsidRPr="00F424E5" w:rsidRDefault="006A3496" w:rsidP="00377147">
            <w:pPr>
              <w:jc w:val="right"/>
              <w:cnfStyle w:val="000000100000" w:firstRow="0" w:lastRow="0" w:firstColumn="0" w:lastColumn="0" w:oddVBand="0" w:evenVBand="0" w:oddHBand="1" w:evenHBand="0" w:firstRowFirstColumn="0" w:firstRowLastColumn="0" w:lastRowFirstColumn="0" w:lastRowLastColumn="0"/>
            </w:pPr>
            <w:r>
              <w:t>463</w:t>
            </w:r>
          </w:p>
        </w:tc>
        <w:tc>
          <w:tcPr>
            <w:tcW w:w="2143" w:type="dxa"/>
            <w:shd w:val="clear" w:color="auto" w:fill="FFFFFF" w:themeFill="background1"/>
          </w:tcPr>
          <w:p w14:paraId="1C3245A3" w14:textId="3269FD84" w:rsidR="006A3496" w:rsidRPr="00F424E5" w:rsidRDefault="006A3496" w:rsidP="00377147">
            <w:pPr>
              <w:jc w:val="right"/>
              <w:cnfStyle w:val="000000100000" w:firstRow="0" w:lastRow="0" w:firstColumn="0" w:lastColumn="0" w:oddVBand="0" w:evenVBand="0" w:oddHBand="1" w:evenHBand="0" w:firstRowFirstColumn="0" w:firstRowLastColumn="0" w:lastRowFirstColumn="0" w:lastRowLastColumn="0"/>
            </w:pPr>
            <w:r>
              <w:t>15.00</w:t>
            </w:r>
          </w:p>
        </w:tc>
      </w:tr>
      <w:tr w:rsidR="006A3496" w:rsidRPr="00F424E5" w14:paraId="0F76150E" w14:textId="77777777" w:rsidTr="004F7040">
        <w:tc>
          <w:tcPr>
            <w:cnfStyle w:val="001000000000" w:firstRow="0" w:lastRow="0" w:firstColumn="1" w:lastColumn="0" w:oddVBand="0" w:evenVBand="0" w:oddHBand="0" w:evenHBand="0" w:firstRowFirstColumn="0" w:firstRowLastColumn="0" w:lastRowFirstColumn="0" w:lastRowLastColumn="0"/>
            <w:tcW w:w="3601" w:type="dxa"/>
            <w:shd w:val="clear" w:color="auto" w:fill="EDF8AA"/>
          </w:tcPr>
          <w:p w14:paraId="384E2822" w14:textId="77777777" w:rsidR="006A3496" w:rsidRPr="00224A65" w:rsidRDefault="006A3496" w:rsidP="006A3496">
            <w:pPr>
              <w:rPr>
                <w:b w:val="0"/>
              </w:rPr>
            </w:pPr>
            <w:r w:rsidRPr="00224A65">
              <w:rPr>
                <w:b w:val="0"/>
              </w:rPr>
              <w:t>Local road improvements</w:t>
            </w:r>
          </w:p>
        </w:tc>
        <w:tc>
          <w:tcPr>
            <w:tcW w:w="1510" w:type="dxa"/>
            <w:shd w:val="clear" w:color="auto" w:fill="EDF8AA"/>
          </w:tcPr>
          <w:p w14:paraId="29667B77" w14:textId="125A5A65" w:rsidR="006A3496" w:rsidRPr="00F424E5" w:rsidRDefault="006A3496" w:rsidP="00377147">
            <w:pPr>
              <w:jc w:val="right"/>
              <w:cnfStyle w:val="000000000000" w:firstRow="0" w:lastRow="0" w:firstColumn="0" w:lastColumn="0" w:oddVBand="0" w:evenVBand="0" w:oddHBand="0" w:evenHBand="0" w:firstRowFirstColumn="0" w:firstRowLastColumn="0" w:lastRowFirstColumn="0" w:lastRowLastColumn="0"/>
            </w:pPr>
            <w:r>
              <w:t>240</w:t>
            </w:r>
          </w:p>
        </w:tc>
        <w:tc>
          <w:tcPr>
            <w:tcW w:w="1688" w:type="dxa"/>
            <w:shd w:val="clear" w:color="auto" w:fill="EDF8AA"/>
          </w:tcPr>
          <w:p w14:paraId="5B9B5946" w14:textId="3F50C86C" w:rsidR="006A3496" w:rsidRPr="00F424E5" w:rsidRDefault="006A3496" w:rsidP="00377147">
            <w:pPr>
              <w:jc w:val="right"/>
              <w:cnfStyle w:val="000000000000" w:firstRow="0" w:lastRow="0" w:firstColumn="0" w:lastColumn="0" w:oddVBand="0" w:evenVBand="0" w:oddHBand="0" w:evenHBand="0" w:firstRowFirstColumn="0" w:firstRowLastColumn="0" w:lastRowFirstColumn="0" w:lastRowLastColumn="0"/>
            </w:pPr>
            <w:r>
              <w:t>8.40</w:t>
            </w:r>
          </w:p>
        </w:tc>
        <w:tc>
          <w:tcPr>
            <w:tcW w:w="1514" w:type="dxa"/>
            <w:shd w:val="clear" w:color="auto" w:fill="EDF8AA"/>
          </w:tcPr>
          <w:p w14:paraId="71BCB27C" w14:textId="6CD4324F" w:rsidR="006A3496" w:rsidRPr="00F424E5" w:rsidRDefault="006A3496" w:rsidP="00377147">
            <w:pPr>
              <w:jc w:val="right"/>
              <w:cnfStyle w:val="000000000000" w:firstRow="0" w:lastRow="0" w:firstColumn="0" w:lastColumn="0" w:oddVBand="0" w:evenVBand="0" w:oddHBand="0" w:evenHBand="0" w:firstRowFirstColumn="0" w:firstRowLastColumn="0" w:lastRowFirstColumn="0" w:lastRowLastColumn="0"/>
            </w:pPr>
            <w:r>
              <w:t>262</w:t>
            </w:r>
          </w:p>
        </w:tc>
        <w:tc>
          <w:tcPr>
            <w:tcW w:w="2143" w:type="dxa"/>
            <w:shd w:val="clear" w:color="auto" w:fill="EDF8AA"/>
          </w:tcPr>
          <w:p w14:paraId="6F183A00" w14:textId="6724B553" w:rsidR="006A3496" w:rsidRPr="00F424E5" w:rsidRDefault="006A3496" w:rsidP="00377147">
            <w:pPr>
              <w:jc w:val="right"/>
              <w:cnfStyle w:val="000000000000" w:firstRow="0" w:lastRow="0" w:firstColumn="0" w:lastColumn="0" w:oddVBand="0" w:evenVBand="0" w:oddHBand="0" w:evenHBand="0" w:firstRowFirstColumn="0" w:firstRowLastColumn="0" w:lastRowFirstColumn="0" w:lastRowLastColumn="0"/>
            </w:pPr>
            <w:r>
              <w:t>8.50</w:t>
            </w:r>
          </w:p>
        </w:tc>
      </w:tr>
      <w:tr w:rsidR="006A3496" w:rsidRPr="00F424E5" w14:paraId="0FA3D81B" w14:textId="77777777" w:rsidTr="004F7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shd w:val="clear" w:color="auto" w:fill="FFFFFF" w:themeFill="background1"/>
          </w:tcPr>
          <w:p w14:paraId="401261B9" w14:textId="77777777" w:rsidR="006A3496" w:rsidRPr="00224A65" w:rsidRDefault="006A3496" w:rsidP="006A3496">
            <w:pPr>
              <w:rPr>
                <w:b w:val="0"/>
              </w:rPr>
            </w:pPr>
            <w:r w:rsidRPr="00224A65">
              <w:rPr>
                <w:b w:val="0"/>
              </w:rPr>
              <w:t>Local road maintenance</w:t>
            </w:r>
          </w:p>
        </w:tc>
        <w:tc>
          <w:tcPr>
            <w:tcW w:w="1510" w:type="dxa"/>
            <w:shd w:val="clear" w:color="auto" w:fill="FFFFFF" w:themeFill="background1"/>
          </w:tcPr>
          <w:p w14:paraId="1C3BD36C" w14:textId="0C9B99BB" w:rsidR="006A3496" w:rsidRPr="00F424E5" w:rsidRDefault="006A3496" w:rsidP="00377147">
            <w:pPr>
              <w:jc w:val="right"/>
              <w:cnfStyle w:val="000000100000" w:firstRow="0" w:lastRow="0" w:firstColumn="0" w:lastColumn="0" w:oddVBand="0" w:evenVBand="0" w:oddHBand="1" w:evenHBand="0" w:firstRowFirstColumn="0" w:firstRowLastColumn="0" w:lastRowFirstColumn="0" w:lastRowLastColumn="0"/>
            </w:pPr>
            <w:r>
              <w:t>694</w:t>
            </w:r>
          </w:p>
        </w:tc>
        <w:tc>
          <w:tcPr>
            <w:tcW w:w="1688" w:type="dxa"/>
            <w:shd w:val="clear" w:color="auto" w:fill="FFFFFF" w:themeFill="background1"/>
          </w:tcPr>
          <w:p w14:paraId="3E2A8836" w14:textId="3C593BAB" w:rsidR="006A3496" w:rsidRPr="00F424E5" w:rsidRDefault="006A3496" w:rsidP="00377147">
            <w:pPr>
              <w:jc w:val="right"/>
              <w:cnfStyle w:val="000000100000" w:firstRow="0" w:lastRow="0" w:firstColumn="0" w:lastColumn="0" w:oddVBand="0" w:evenVBand="0" w:oddHBand="1" w:evenHBand="0" w:firstRowFirstColumn="0" w:firstRowLastColumn="0" w:lastRowFirstColumn="0" w:lastRowLastColumn="0"/>
            </w:pPr>
            <w:r>
              <w:t>24.20</w:t>
            </w:r>
          </w:p>
        </w:tc>
        <w:tc>
          <w:tcPr>
            <w:tcW w:w="1514" w:type="dxa"/>
            <w:shd w:val="clear" w:color="auto" w:fill="FFFFFF" w:themeFill="background1"/>
          </w:tcPr>
          <w:p w14:paraId="00B85F61" w14:textId="239AE2C8" w:rsidR="006A3496" w:rsidRPr="00F424E5" w:rsidRDefault="006A3496" w:rsidP="00377147">
            <w:pPr>
              <w:jc w:val="right"/>
              <w:cnfStyle w:val="000000100000" w:firstRow="0" w:lastRow="0" w:firstColumn="0" w:lastColumn="0" w:oddVBand="0" w:evenVBand="0" w:oddHBand="1" w:evenHBand="0" w:firstRowFirstColumn="0" w:firstRowLastColumn="0" w:lastRowFirstColumn="0" w:lastRowLastColumn="0"/>
            </w:pPr>
            <w:r>
              <w:t>582</w:t>
            </w:r>
          </w:p>
        </w:tc>
        <w:tc>
          <w:tcPr>
            <w:tcW w:w="2143" w:type="dxa"/>
            <w:shd w:val="clear" w:color="auto" w:fill="FFFFFF" w:themeFill="background1"/>
          </w:tcPr>
          <w:p w14:paraId="3C2FC4F6" w14:textId="770C1374" w:rsidR="006A3496" w:rsidRPr="00F424E5" w:rsidRDefault="006A3496" w:rsidP="00377147">
            <w:pPr>
              <w:jc w:val="right"/>
              <w:cnfStyle w:val="000000100000" w:firstRow="0" w:lastRow="0" w:firstColumn="0" w:lastColumn="0" w:oddVBand="0" w:evenVBand="0" w:oddHBand="1" w:evenHBand="0" w:firstRowFirstColumn="0" w:firstRowLastColumn="0" w:lastRowFirstColumn="0" w:lastRowLastColumn="0"/>
            </w:pPr>
            <w:r>
              <w:t>18.90</w:t>
            </w:r>
          </w:p>
        </w:tc>
      </w:tr>
      <w:tr w:rsidR="006A3496" w:rsidRPr="00F424E5" w14:paraId="7BEBA5B8" w14:textId="77777777" w:rsidTr="004F7040">
        <w:tc>
          <w:tcPr>
            <w:cnfStyle w:val="001000000000" w:firstRow="0" w:lastRow="0" w:firstColumn="1" w:lastColumn="0" w:oddVBand="0" w:evenVBand="0" w:oddHBand="0" w:evenHBand="0" w:firstRowFirstColumn="0" w:firstRowLastColumn="0" w:lastRowFirstColumn="0" w:lastRowLastColumn="0"/>
            <w:tcW w:w="3601" w:type="dxa"/>
            <w:shd w:val="clear" w:color="auto" w:fill="EDF8AA"/>
          </w:tcPr>
          <w:p w14:paraId="1BA62E5F" w14:textId="77777777" w:rsidR="006A3496" w:rsidRPr="00224A65" w:rsidRDefault="006A3496" w:rsidP="006A3496">
            <w:pPr>
              <w:rPr>
                <w:b w:val="0"/>
              </w:rPr>
            </w:pPr>
            <w:r w:rsidRPr="00224A65">
              <w:rPr>
                <w:b w:val="0"/>
              </w:rPr>
              <w:t>Road safety promotion and demand management</w:t>
            </w:r>
          </w:p>
        </w:tc>
        <w:tc>
          <w:tcPr>
            <w:tcW w:w="1510" w:type="dxa"/>
            <w:shd w:val="clear" w:color="auto" w:fill="EDF8AA"/>
          </w:tcPr>
          <w:p w14:paraId="514DAC95" w14:textId="7158857F" w:rsidR="006A3496" w:rsidRPr="00F424E5" w:rsidRDefault="006A3496" w:rsidP="00377147">
            <w:pPr>
              <w:jc w:val="right"/>
              <w:cnfStyle w:val="000000000000" w:firstRow="0" w:lastRow="0" w:firstColumn="0" w:lastColumn="0" w:oddVBand="0" w:evenVBand="0" w:oddHBand="0" w:evenHBand="0" w:firstRowFirstColumn="0" w:firstRowLastColumn="0" w:lastRowFirstColumn="0" w:lastRowLastColumn="0"/>
            </w:pPr>
            <w:r>
              <w:t>12</w:t>
            </w:r>
          </w:p>
        </w:tc>
        <w:tc>
          <w:tcPr>
            <w:tcW w:w="1688" w:type="dxa"/>
            <w:shd w:val="clear" w:color="auto" w:fill="EDF8AA"/>
          </w:tcPr>
          <w:p w14:paraId="2BE2A134" w14:textId="78478083" w:rsidR="006A3496" w:rsidRPr="00F424E5" w:rsidRDefault="006A3496" w:rsidP="00377147">
            <w:pPr>
              <w:jc w:val="right"/>
              <w:cnfStyle w:val="000000000000" w:firstRow="0" w:lastRow="0" w:firstColumn="0" w:lastColumn="0" w:oddVBand="0" w:evenVBand="0" w:oddHBand="0" w:evenHBand="0" w:firstRowFirstColumn="0" w:firstRowLastColumn="0" w:lastRowFirstColumn="0" w:lastRowLastColumn="0"/>
            </w:pPr>
            <w:r>
              <w:t>0.40</w:t>
            </w:r>
          </w:p>
        </w:tc>
        <w:tc>
          <w:tcPr>
            <w:tcW w:w="1514" w:type="dxa"/>
            <w:shd w:val="clear" w:color="auto" w:fill="EDF8AA"/>
          </w:tcPr>
          <w:p w14:paraId="304F0FE6" w14:textId="07FAE3A8" w:rsidR="006A3496" w:rsidRPr="00F424E5" w:rsidRDefault="006A3496" w:rsidP="00377147">
            <w:pPr>
              <w:jc w:val="right"/>
              <w:cnfStyle w:val="000000000000" w:firstRow="0" w:lastRow="0" w:firstColumn="0" w:lastColumn="0" w:oddVBand="0" w:evenVBand="0" w:oddHBand="0" w:evenHBand="0" w:firstRowFirstColumn="0" w:firstRowLastColumn="0" w:lastRowFirstColumn="0" w:lastRowLastColumn="0"/>
            </w:pPr>
            <w:r>
              <w:t>12</w:t>
            </w:r>
          </w:p>
        </w:tc>
        <w:tc>
          <w:tcPr>
            <w:tcW w:w="2143" w:type="dxa"/>
            <w:shd w:val="clear" w:color="auto" w:fill="EDF8AA"/>
          </w:tcPr>
          <w:p w14:paraId="6421B362" w14:textId="4FBF9014" w:rsidR="006A3496" w:rsidRPr="00F424E5" w:rsidRDefault="006A3496" w:rsidP="00377147">
            <w:pPr>
              <w:jc w:val="right"/>
              <w:cnfStyle w:val="000000000000" w:firstRow="0" w:lastRow="0" w:firstColumn="0" w:lastColumn="0" w:oddVBand="0" w:evenVBand="0" w:oddHBand="0" w:evenHBand="0" w:firstRowFirstColumn="0" w:firstRowLastColumn="0" w:lastRowFirstColumn="0" w:lastRowLastColumn="0"/>
            </w:pPr>
            <w:r>
              <w:t>0.41</w:t>
            </w:r>
          </w:p>
        </w:tc>
      </w:tr>
      <w:tr w:rsidR="006A3496" w:rsidRPr="00F424E5" w14:paraId="07DD008F" w14:textId="77777777" w:rsidTr="004F7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shd w:val="clear" w:color="auto" w:fill="FFFFFF" w:themeFill="background1"/>
          </w:tcPr>
          <w:p w14:paraId="5D8641A6" w14:textId="77777777" w:rsidR="006A3496" w:rsidRPr="00224A65" w:rsidRDefault="006A3496" w:rsidP="006A3496">
            <w:pPr>
              <w:rPr>
                <w:b w:val="0"/>
              </w:rPr>
            </w:pPr>
            <w:r w:rsidRPr="00224A65">
              <w:rPr>
                <w:b w:val="0"/>
              </w:rPr>
              <w:t>Regional improvements</w:t>
            </w:r>
          </w:p>
        </w:tc>
        <w:tc>
          <w:tcPr>
            <w:tcW w:w="1510" w:type="dxa"/>
            <w:shd w:val="clear" w:color="auto" w:fill="FFFFFF" w:themeFill="background1"/>
          </w:tcPr>
          <w:p w14:paraId="02916263" w14:textId="4714B904" w:rsidR="006A3496" w:rsidRPr="00F424E5" w:rsidRDefault="006A3496" w:rsidP="00377147">
            <w:pPr>
              <w:jc w:val="right"/>
              <w:cnfStyle w:val="000000100000" w:firstRow="0" w:lastRow="0" w:firstColumn="0" w:lastColumn="0" w:oddVBand="0" w:evenVBand="0" w:oddHBand="1" w:evenHBand="0" w:firstRowFirstColumn="0" w:firstRowLastColumn="0" w:lastRowFirstColumn="0" w:lastRowLastColumn="0"/>
            </w:pPr>
            <w:r>
              <w:t>68</w:t>
            </w:r>
          </w:p>
        </w:tc>
        <w:tc>
          <w:tcPr>
            <w:tcW w:w="1688" w:type="dxa"/>
            <w:shd w:val="clear" w:color="auto" w:fill="FFFFFF" w:themeFill="background1"/>
          </w:tcPr>
          <w:p w14:paraId="1E7824B7" w14:textId="20EE5646" w:rsidR="006A3496" w:rsidRPr="00F424E5" w:rsidRDefault="006A3496" w:rsidP="00377147">
            <w:pPr>
              <w:jc w:val="right"/>
              <w:cnfStyle w:val="000000100000" w:firstRow="0" w:lastRow="0" w:firstColumn="0" w:lastColumn="0" w:oddVBand="0" w:evenVBand="0" w:oddHBand="1" w:evenHBand="0" w:firstRowFirstColumn="0" w:firstRowLastColumn="0" w:lastRowFirstColumn="0" w:lastRowLastColumn="0"/>
            </w:pPr>
            <w:r>
              <w:t>2.40</w:t>
            </w:r>
          </w:p>
        </w:tc>
        <w:tc>
          <w:tcPr>
            <w:tcW w:w="1514" w:type="dxa"/>
            <w:shd w:val="clear" w:color="auto" w:fill="FFFFFF" w:themeFill="background1"/>
          </w:tcPr>
          <w:p w14:paraId="02255588" w14:textId="3EFC6512" w:rsidR="006A3496" w:rsidRPr="00F424E5" w:rsidRDefault="006A3496" w:rsidP="00377147">
            <w:pPr>
              <w:jc w:val="right"/>
              <w:cnfStyle w:val="000000100000" w:firstRow="0" w:lastRow="0" w:firstColumn="0" w:lastColumn="0" w:oddVBand="0" w:evenVBand="0" w:oddHBand="1" w:evenHBand="0" w:firstRowFirstColumn="0" w:firstRowLastColumn="0" w:lastRowFirstColumn="0" w:lastRowLastColumn="0"/>
            </w:pPr>
            <w:r>
              <w:t>60</w:t>
            </w:r>
          </w:p>
        </w:tc>
        <w:tc>
          <w:tcPr>
            <w:tcW w:w="2143" w:type="dxa"/>
            <w:shd w:val="clear" w:color="auto" w:fill="FFFFFF" w:themeFill="background1"/>
          </w:tcPr>
          <w:p w14:paraId="6D4EECBD" w14:textId="57E93A9E" w:rsidR="006A3496" w:rsidRPr="00F424E5" w:rsidRDefault="006A3496" w:rsidP="00377147">
            <w:pPr>
              <w:jc w:val="right"/>
              <w:cnfStyle w:val="000000100000" w:firstRow="0" w:lastRow="0" w:firstColumn="0" w:lastColumn="0" w:oddVBand="0" w:evenVBand="0" w:oddHBand="1" w:evenHBand="0" w:firstRowFirstColumn="0" w:firstRowLastColumn="0" w:lastRowFirstColumn="0" w:lastRowLastColumn="0"/>
            </w:pPr>
            <w:r>
              <w:t>1.90</w:t>
            </w:r>
          </w:p>
        </w:tc>
      </w:tr>
      <w:tr w:rsidR="006A3496" w:rsidRPr="00F424E5" w14:paraId="27DB2D83" w14:textId="77777777" w:rsidTr="004F7040">
        <w:tc>
          <w:tcPr>
            <w:cnfStyle w:val="001000000000" w:firstRow="0" w:lastRow="0" w:firstColumn="1" w:lastColumn="0" w:oddVBand="0" w:evenVBand="0" w:oddHBand="0" w:evenHBand="0" w:firstRowFirstColumn="0" w:firstRowLastColumn="0" w:lastRowFirstColumn="0" w:lastRowLastColumn="0"/>
            <w:tcW w:w="3601" w:type="dxa"/>
            <w:shd w:val="clear" w:color="auto" w:fill="EDF8AA"/>
          </w:tcPr>
          <w:p w14:paraId="446B15BC" w14:textId="77777777" w:rsidR="006A3496" w:rsidRPr="00224A65" w:rsidRDefault="006A3496" w:rsidP="006A3496">
            <w:pPr>
              <w:rPr>
                <w:b w:val="0"/>
              </w:rPr>
            </w:pPr>
            <w:r w:rsidRPr="00224A65">
              <w:rPr>
                <w:b w:val="0"/>
              </w:rPr>
              <w:t>Public transport</w:t>
            </w:r>
          </w:p>
        </w:tc>
        <w:tc>
          <w:tcPr>
            <w:tcW w:w="1510" w:type="dxa"/>
            <w:shd w:val="clear" w:color="auto" w:fill="EDF8AA"/>
          </w:tcPr>
          <w:p w14:paraId="5B2DB871" w14:textId="2432A863" w:rsidR="006A3496" w:rsidRPr="00F424E5" w:rsidRDefault="006A3496" w:rsidP="00377147">
            <w:pPr>
              <w:jc w:val="right"/>
              <w:cnfStyle w:val="000000000000" w:firstRow="0" w:lastRow="0" w:firstColumn="0" w:lastColumn="0" w:oddVBand="0" w:evenVBand="0" w:oddHBand="0" w:evenHBand="0" w:firstRowFirstColumn="0" w:firstRowLastColumn="0" w:lastRowFirstColumn="0" w:lastRowLastColumn="0"/>
            </w:pPr>
            <w:r>
              <w:t>590</w:t>
            </w:r>
          </w:p>
        </w:tc>
        <w:tc>
          <w:tcPr>
            <w:tcW w:w="1688" w:type="dxa"/>
            <w:shd w:val="clear" w:color="auto" w:fill="EDF8AA"/>
          </w:tcPr>
          <w:p w14:paraId="0409BD84" w14:textId="2F346823" w:rsidR="006A3496" w:rsidRPr="00F424E5" w:rsidRDefault="006A3496" w:rsidP="00377147">
            <w:pPr>
              <w:jc w:val="right"/>
              <w:cnfStyle w:val="000000000000" w:firstRow="0" w:lastRow="0" w:firstColumn="0" w:lastColumn="0" w:oddVBand="0" w:evenVBand="0" w:oddHBand="0" w:evenHBand="0" w:firstRowFirstColumn="0" w:firstRowLastColumn="0" w:lastRowFirstColumn="0" w:lastRowLastColumn="0"/>
            </w:pPr>
            <w:r>
              <w:t>20.60</w:t>
            </w:r>
          </w:p>
        </w:tc>
        <w:tc>
          <w:tcPr>
            <w:tcW w:w="1514" w:type="dxa"/>
            <w:shd w:val="clear" w:color="auto" w:fill="EDF8AA"/>
          </w:tcPr>
          <w:p w14:paraId="04B82B1A" w14:textId="73BE307D" w:rsidR="006A3496" w:rsidRPr="00F424E5" w:rsidRDefault="006A3496" w:rsidP="00377147">
            <w:pPr>
              <w:jc w:val="right"/>
              <w:cnfStyle w:val="000000000000" w:firstRow="0" w:lastRow="0" w:firstColumn="0" w:lastColumn="0" w:oddVBand="0" w:evenVBand="0" w:oddHBand="0" w:evenHBand="0" w:firstRowFirstColumn="0" w:firstRowLastColumn="0" w:lastRowFirstColumn="0" w:lastRowLastColumn="0"/>
            </w:pPr>
            <w:r>
              <w:t>842</w:t>
            </w:r>
          </w:p>
        </w:tc>
        <w:tc>
          <w:tcPr>
            <w:tcW w:w="2143" w:type="dxa"/>
            <w:shd w:val="clear" w:color="auto" w:fill="EDF8AA"/>
          </w:tcPr>
          <w:p w14:paraId="285A3620" w14:textId="749B2657" w:rsidR="006A3496" w:rsidRPr="00F424E5" w:rsidRDefault="006A3496" w:rsidP="00377147">
            <w:pPr>
              <w:jc w:val="right"/>
              <w:cnfStyle w:val="000000000000" w:firstRow="0" w:lastRow="0" w:firstColumn="0" w:lastColumn="0" w:oddVBand="0" w:evenVBand="0" w:oddHBand="0" w:evenHBand="0" w:firstRowFirstColumn="0" w:firstRowLastColumn="0" w:lastRowFirstColumn="0" w:lastRowLastColumn="0"/>
            </w:pPr>
            <w:r>
              <w:t>27.40</w:t>
            </w:r>
          </w:p>
        </w:tc>
      </w:tr>
      <w:tr w:rsidR="006A3496" w:rsidRPr="00F424E5" w14:paraId="2766CB81" w14:textId="77777777" w:rsidTr="004F7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shd w:val="clear" w:color="auto" w:fill="FFFFFF" w:themeFill="background1"/>
          </w:tcPr>
          <w:p w14:paraId="1E6DC3CC" w14:textId="77777777" w:rsidR="006A3496" w:rsidRPr="00224A65" w:rsidRDefault="006A3496" w:rsidP="006A3496">
            <w:pPr>
              <w:rPr>
                <w:b w:val="0"/>
              </w:rPr>
            </w:pPr>
            <w:r w:rsidRPr="00224A65">
              <w:rPr>
                <w:b w:val="0"/>
              </w:rPr>
              <w:t>Walking and cycling improvements</w:t>
            </w:r>
          </w:p>
        </w:tc>
        <w:tc>
          <w:tcPr>
            <w:tcW w:w="1510" w:type="dxa"/>
            <w:shd w:val="clear" w:color="auto" w:fill="FFFFFF" w:themeFill="background1"/>
          </w:tcPr>
          <w:p w14:paraId="73FD2E57" w14:textId="350D149B" w:rsidR="006A3496" w:rsidRPr="00F424E5" w:rsidRDefault="006A3496" w:rsidP="00377147">
            <w:pPr>
              <w:jc w:val="right"/>
              <w:cnfStyle w:val="000000100000" w:firstRow="0" w:lastRow="0" w:firstColumn="0" w:lastColumn="0" w:oddVBand="0" w:evenVBand="0" w:oddHBand="1" w:evenHBand="0" w:firstRowFirstColumn="0" w:firstRowLastColumn="0" w:lastRowFirstColumn="0" w:lastRowLastColumn="0"/>
            </w:pPr>
            <w:r>
              <w:t>46</w:t>
            </w:r>
          </w:p>
        </w:tc>
        <w:tc>
          <w:tcPr>
            <w:tcW w:w="1688" w:type="dxa"/>
            <w:shd w:val="clear" w:color="auto" w:fill="FFFFFF" w:themeFill="background1"/>
          </w:tcPr>
          <w:p w14:paraId="52E7B983" w14:textId="67B2BC8C" w:rsidR="006A3496" w:rsidRPr="00F424E5" w:rsidRDefault="006A3496" w:rsidP="00377147">
            <w:pPr>
              <w:jc w:val="right"/>
              <w:cnfStyle w:val="000000100000" w:firstRow="0" w:lastRow="0" w:firstColumn="0" w:lastColumn="0" w:oddVBand="0" w:evenVBand="0" w:oddHBand="1" w:evenHBand="0" w:firstRowFirstColumn="0" w:firstRowLastColumn="0" w:lastRowFirstColumn="0" w:lastRowLastColumn="0"/>
            </w:pPr>
            <w:r>
              <w:t>1.60</w:t>
            </w:r>
          </w:p>
        </w:tc>
        <w:tc>
          <w:tcPr>
            <w:tcW w:w="1514" w:type="dxa"/>
            <w:shd w:val="clear" w:color="auto" w:fill="FFFFFF" w:themeFill="background1"/>
          </w:tcPr>
          <w:p w14:paraId="1EC4C4D0" w14:textId="62571A27" w:rsidR="006A3496" w:rsidRPr="00F424E5" w:rsidRDefault="006A3496" w:rsidP="00377147">
            <w:pPr>
              <w:jc w:val="right"/>
              <w:cnfStyle w:val="000000100000" w:firstRow="0" w:lastRow="0" w:firstColumn="0" w:lastColumn="0" w:oddVBand="0" w:evenVBand="0" w:oddHBand="1" w:evenHBand="0" w:firstRowFirstColumn="0" w:firstRowLastColumn="0" w:lastRowFirstColumn="0" w:lastRowLastColumn="0"/>
            </w:pPr>
            <w:r>
              <w:t>54</w:t>
            </w:r>
          </w:p>
        </w:tc>
        <w:tc>
          <w:tcPr>
            <w:tcW w:w="2143" w:type="dxa"/>
            <w:shd w:val="clear" w:color="auto" w:fill="FFFFFF" w:themeFill="background1"/>
          </w:tcPr>
          <w:p w14:paraId="7DBF1A74" w14:textId="3F5D0FA4" w:rsidR="006A3496" w:rsidRPr="00F424E5" w:rsidRDefault="006A3496" w:rsidP="00377147">
            <w:pPr>
              <w:jc w:val="right"/>
              <w:cnfStyle w:val="000000100000" w:firstRow="0" w:lastRow="0" w:firstColumn="0" w:lastColumn="0" w:oddVBand="0" w:evenVBand="0" w:oddHBand="1" w:evenHBand="0" w:firstRowFirstColumn="0" w:firstRowLastColumn="0" w:lastRowFirstColumn="0" w:lastRowLastColumn="0"/>
            </w:pPr>
            <w:r>
              <w:t>1.80</w:t>
            </w:r>
          </w:p>
        </w:tc>
      </w:tr>
      <w:tr w:rsidR="006A3496" w:rsidRPr="00F424E5" w14:paraId="11ADA19B" w14:textId="77777777" w:rsidTr="004F7040">
        <w:tc>
          <w:tcPr>
            <w:cnfStyle w:val="001000000000" w:firstRow="0" w:lastRow="0" w:firstColumn="1" w:lastColumn="0" w:oddVBand="0" w:evenVBand="0" w:oddHBand="0" w:evenHBand="0" w:firstRowFirstColumn="0" w:firstRowLastColumn="0" w:lastRowFirstColumn="0" w:lastRowLastColumn="0"/>
            <w:tcW w:w="3601" w:type="dxa"/>
            <w:shd w:val="clear" w:color="auto" w:fill="EDF8AA"/>
          </w:tcPr>
          <w:p w14:paraId="2D99D4FA" w14:textId="77777777" w:rsidR="006A3496" w:rsidRPr="00224A65" w:rsidRDefault="006A3496" w:rsidP="006A3496">
            <w:pPr>
              <w:rPr>
                <w:b w:val="0"/>
              </w:rPr>
            </w:pPr>
            <w:r w:rsidRPr="00224A65">
              <w:rPr>
                <w:b w:val="0"/>
              </w:rPr>
              <w:t>Rapid transit</w:t>
            </w:r>
          </w:p>
        </w:tc>
        <w:tc>
          <w:tcPr>
            <w:tcW w:w="1510" w:type="dxa"/>
            <w:shd w:val="clear" w:color="auto" w:fill="EDF8AA"/>
          </w:tcPr>
          <w:p w14:paraId="018C4EBE" w14:textId="51DC54ED" w:rsidR="006A3496" w:rsidRPr="00F424E5" w:rsidRDefault="006A3496" w:rsidP="00377147">
            <w:pPr>
              <w:jc w:val="right"/>
              <w:cnfStyle w:val="000000000000" w:firstRow="0" w:lastRow="0" w:firstColumn="0" w:lastColumn="0" w:oddVBand="0" w:evenVBand="0" w:oddHBand="0" w:evenHBand="0" w:firstRowFirstColumn="0" w:firstRowLastColumn="0" w:lastRowFirstColumn="0" w:lastRowLastColumn="0"/>
            </w:pPr>
            <w:r>
              <w:t>8</w:t>
            </w:r>
          </w:p>
        </w:tc>
        <w:tc>
          <w:tcPr>
            <w:tcW w:w="1688" w:type="dxa"/>
            <w:shd w:val="clear" w:color="auto" w:fill="EDF8AA"/>
          </w:tcPr>
          <w:p w14:paraId="7EB59348" w14:textId="192856C0" w:rsidR="006A3496" w:rsidRPr="00F424E5" w:rsidRDefault="006A3496" w:rsidP="00377147">
            <w:pPr>
              <w:jc w:val="right"/>
              <w:cnfStyle w:val="000000000000" w:firstRow="0" w:lastRow="0" w:firstColumn="0" w:lastColumn="0" w:oddVBand="0" w:evenVBand="0" w:oddHBand="0" w:evenHBand="0" w:firstRowFirstColumn="0" w:firstRowLastColumn="0" w:lastRowFirstColumn="0" w:lastRowLastColumn="0"/>
            </w:pPr>
            <w:r>
              <w:t>0.30</w:t>
            </w:r>
          </w:p>
        </w:tc>
        <w:tc>
          <w:tcPr>
            <w:tcW w:w="1514" w:type="dxa"/>
            <w:shd w:val="clear" w:color="auto" w:fill="EDF8AA"/>
          </w:tcPr>
          <w:p w14:paraId="16E01D35" w14:textId="429335FD" w:rsidR="006A3496" w:rsidRPr="00F424E5" w:rsidRDefault="006A3496" w:rsidP="00377147">
            <w:pPr>
              <w:jc w:val="right"/>
              <w:cnfStyle w:val="000000000000" w:firstRow="0" w:lastRow="0" w:firstColumn="0" w:lastColumn="0" w:oddVBand="0" w:evenVBand="0" w:oddHBand="0" w:evenHBand="0" w:firstRowFirstColumn="0" w:firstRowLastColumn="0" w:lastRowFirstColumn="0" w:lastRowLastColumn="0"/>
            </w:pPr>
            <w:r>
              <w:t>8</w:t>
            </w:r>
          </w:p>
        </w:tc>
        <w:tc>
          <w:tcPr>
            <w:tcW w:w="2143" w:type="dxa"/>
            <w:shd w:val="clear" w:color="auto" w:fill="EDF8AA"/>
          </w:tcPr>
          <w:p w14:paraId="2ECD366C" w14:textId="42E0CC5D" w:rsidR="006A3496" w:rsidRPr="00F424E5" w:rsidRDefault="006A3496" w:rsidP="00377147">
            <w:pPr>
              <w:jc w:val="right"/>
              <w:cnfStyle w:val="000000000000" w:firstRow="0" w:lastRow="0" w:firstColumn="0" w:lastColumn="0" w:oddVBand="0" w:evenVBand="0" w:oddHBand="0" w:evenHBand="0" w:firstRowFirstColumn="0" w:firstRowLastColumn="0" w:lastRowFirstColumn="0" w:lastRowLastColumn="0"/>
            </w:pPr>
            <w:r>
              <w:t>0.30</w:t>
            </w:r>
          </w:p>
        </w:tc>
      </w:tr>
      <w:tr w:rsidR="006A3496" w:rsidRPr="00F424E5" w14:paraId="43C2732E" w14:textId="77777777" w:rsidTr="004F7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shd w:val="clear" w:color="auto" w:fill="FFFFFF" w:themeFill="background1"/>
          </w:tcPr>
          <w:p w14:paraId="4D1D7F04" w14:textId="77777777" w:rsidR="006A3496" w:rsidRPr="00224A65" w:rsidRDefault="006A3496" w:rsidP="006A3496">
            <w:pPr>
              <w:rPr>
                <w:b w:val="0"/>
              </w:rPr>
            </w:pPr>
            <w:r w:rsidRPr="00224A65">
              <w:rPr>
                <w:b w:val="0"/>
              </w:rPr>
              <w:t>Transitional rail</w:t>
            </w:r>
          </w:p>
        </w:tc>
        <w:tc>
          <w:tcPr>
            <w:tcW w:w="1510" w:type="dxa"/>
            <w:shd w:val="clear" w:color="auto" w:fill="FFFFFF" w:themeFill="background1"/>
          </w:tcPr>
          <w:p w14:paraId="7F9E8FC5" w14:textId="45700769" w:rsidR="006A3496" w:rsidRPr="00F424E5" w:rsidRDefault="006A3496" w:rsidP="00377147">
            <w:pPr>
              <w:jc w:val="right"/>
              <w:cnfStyle w:val="000000100000" w:firstRow="0" w:lastRow="0" w:firstColumn="0" w:lastColumn="0" w:oddVBand="0" w:evenVBand="0" w:oddHBand="1" w:evenHBand="0" w:firstRowFirstColumn="0" w:firstRowLastColumn="0" w:lastRowFirstColumn="0" w:lastRowLastColumn="0"/>
            </w:pPr>
            <w:r>
              <w:t>18</w:t>
            </w:r>
          </w:p>
        </w:tc>
        <w:tc>
          <w:tcPr>
            <w:tcW w:w="1688" w:type="dxa"/>
            <w:shd w:val="clear" w:color="auto" w:fill="FFFFFF" w:themeFill="background1"/>
          </w:tcPr>
          <w:p w14:paraId="00FE782C" w14:textId="5245D605" w:rsidR="006A3496" w:rsidRPr="00F424E5" w:rsidRDefault="006A3496" w:rsidP="00377147">
            <w:pPr>
              <w:jc w:val="right"/>
              <w:cnfStyle w:val="000000100000" w:firstRow="0" w:lastRow="0" w:firstColumn="0" w:lastColumn="0" w:oddVBand="0" w:evenVBand="0" w:oddHBand="1" w:evenHBand="0" w:firstRowFirstColumn="0" w:firstRowLastColumn="0" w:lastRowFirstColumn="0" w:lastRowLastColumn="0"/>
            </w:pPr>
            <w:r>
              <w:t>0.60</w:t>
            </w:r>
          </w:p>
        </w:tc>
        <w:tc>
          <w:tcPr>
            <w:tcW w:w="1514" w:type="dxa"/>
            <w:shd w:val="clear" w:color="auto" w:fill="FFFFFF" w:themeFill="background1"/>
          </w:tcPr>
          <w:p w14:paraId="3D54F059" w14:textId="248B135D" w:rsidR="006A3496" w:rsidRPr="00F424E5" w:rsidRDefault="006A3496" w:rsidP="00377147">
            <w:pPr>
              <w:jc w:val="right"/>
              <w:cnfStyle w:val="000000100000" w:firstRow="0" w:lastRow="0" w:firstColumn="0" w:lastColumn="0" w:oddVBand="0" w:evenVBand="0" w:oddHBand="1" w:evenHBand="0" w:firstRowFirstColumn="0" w:firstRowLastColumn="0" w:lastRowFirstColumn="0" w:lastRowLastColumn="0"/>
            </w:pPr>
            <w:r>
              <w:t>62</w:t>
            </w:r>
          </w:p>
        </w:tc>
        <w:tc>
          <w:tcPr>
            <w:tcW w:w="2143" w:type="dxa"/>
            <w:shd w:val="clear" w:color="auto" w:fill="FFFFFF" w:themeFill="background1"/>
          </w:tcPr>
          <w:p w14:paraId="7E95614B" w14:textId="183C2921" w:rsidR="006A3496" w:rsidRPr="00F424E5" w:rsidRDefault="006A3496" w:rsidP="00377147">
            <w:pPr>
              <w:jc w:val="right"/>
              <w:cnfStyle w:val="000000100000" w:firstRow="0" w:lastRow="0" w:firstColumn="0" w:lastColumn="0" w:oddVBand="0" w:evenVBand="0" w:oddHBand="1" w:evenHBand="0" w:firstRowFirstColumn="0" w:firstRowLastColumn="0" w:lastRowFirstColumn="0" w:lastRowLastColumn="0"/>
            </w:pPr>
            <w:r>
              <w:t>2.00</w:t>
            </w:r>
          </w:p>
        </w:tc>
      </w:tr>
      <w:tr w:rsidR="006A3496" w:rsidRPr="00224A65" w14:paraId="6B438E32" w14:textId="77777777" w:rsidTr="004F7040">
        <w:tc>
          <w:tcPr>
            <w:cnfStyle w:val="001000000000" w:firstRow="0" w:lastRow="0" w:firstColumn="1" w:lastColumn="0" w:oddVBand="0" w:evenVBand="0" w:oddHBand="0" w:evenHBand="0" w:firstRowFirstColumn="0" w:firstRowLastColumn="0" w:lastRowFirstColumn="0" w:lastRowLastColumn="0"/>
            <w:tcW w:w="3601" w:type="dxa"/>
            <w:shd w:val="clear" w:color="auto" w:fill="EDF8AA"/>
          </w:tcPr>
          <w:p w14:paraId="15C98C26" w14:textId="77777777" w:rsidR="006A3496" w:rsidRPr="00224A65" w:rsidRDefault="006A3496" w:rsidP="006A3496">
            <w:pPr>
              <w:rPr>
                <w:b w:val="0"/>
                <w:bCs w:val="0"/>
              </w:rPr>
            </w:pPr>
            <w:r w:rsidRPr="00224A65">
              <w:rPr>
                <w:b w:val="0"/>
                <w:bCs w:val="0"/>
              </w:rPr>
              <w:t>TOTAL</w:t>
            </w:r>
          </w:p>
        </w:tc>
        <w:tc>
          <w:tcPr>
            <w:tcW w:w="1510" w:type="dxa"/>
            <w:shd w:val="clear" w:color="auto" w:fill="EDF8AA"/>
          </w:tcPr>
          <w:p w14:paraId="70123883" w14:textId="1A846ECA" w:rsidR="006A3496" w:rsidRPr="00224A65" w:rsidRDefault="006A3496" w:rsidP="00377147">
            <w:pPr>
              <w:jc w:val="right"/>
              <w:cnfStyle w:val="000000000000" w:firstRow="0" w:lastRow="0" w:firstColumn="0" w:lastColumn="0" w:oddVBand="0" w:evenVBand="0" w:oddHBand="0" w:evenHBand="0" w:firstRowFirstColumn="0" w:firstRowLastColumn="0" w:lastRowFirstColumn="0" w:lastRowLastColumn="0"/>
              <w:rPr>
                <w:bCs/>
              </w:rPr>
            </w:pPr>
            <w:r w:rsidRPr="00224A65">
              <w:rPr>
                <w:bCs/>
              </w:rPr>
              <w:t>2.871</w:t>
            </w:r>
          </w:p>
        </w:tc>
        <w:tc>
          <w:tcPr>
            <w:tcW w:w="1688" w:type="dxa"/>
            <w:shd w:val="clear" w:color="auto" w:fill="EDF8AA"/>
          </w:tcPr>
          <w:p w14:paraId="060EE7F7" w14:textId="77777777" w:rsidR="006A3496" w:rsidRPr="00224A65" w:rsidRDefault="006A3496" w:rsidP="00377147">
            <w:pPr>
              <w:jc w:val="right"/>
              <w:cnfStyle w:val="000000000000" w:firstRow="0" w:lastRow="0" w:firstColumn="0" w:lastColumn="0" w:oddVBand="0" w:evenVBand="0" w:oddHBand="0" w:evenHBand="0" w:firstRowFirstColumn="0" w:firstRowLastColumn="0" w:lastRowFirstColumn="0" w:lastRowLastColumn="0"/>
              <w:rPr>
                <w:bCs/>
              </w:rPr>
            </w:pPr>
            <w:r w:rsidRPr="00224A65">
              <w:rPr>
                <w:bCs/>
              </w:rPr>
              <w:t>100.00</w:t>
            </w:r>
          </w:p>
        </w:tc>
        <w:tc>
          <w:tcPr>
            <w:tcW w:w="1514" w:type="dxa"/>
            <w:shd w:val="clear" w:color="auto" w:fill="EDF8AA"/>
          </w:tcPr>
          <w:p w14:paraId="04E59147" w14:textId="06729235" w:rsidR="006A3496" w:rsidRPr="00224A65" w:rsidRDefault="006A3496" w:rsidP="00377147">
            <w:pPr>
              <w:jc w:val="right"/>
              <w:cnfStyle w:val="000000000000" w:firstRow="0" w:lastRow="0" w:firstColumn="0" w:lastColumn="0" w:oddVBand="0" w:evenVBand="0" w:oddHBand="0" w:evenHBand="0" w:firstRowFirstColumn="0" w:firstRowLastColumn="0" w:lastRowFirstColumn="0" w:lastRowLastColumn="0"/>
              <w:rPr>
                <w:bCs/>
              </w:rPr>
            </w:pPr>
            <w:r w:rsidRPr="00224A65">
              <w:rPr>
                <w:bCs/>
              </w:rPr>
              <w:t>3.079</w:t>
            </w:r>
          </w:p>
        </w:tc>
        <w:tc>
          <w:tcPr>
            <w:tcW w:w="2143" w:type="dxa"/>
            <w:shd w:val="clear" w:color="auto" w:fill="EDF8AA"/>
          </w:tcPr>
          <w:p w14:paraId="7602FA27" w14:textId="77777777" w:rsidR="006A3496" w:rsidRPr="00224A65" w:rsidRDefault="006A3496" w:rsidP="00377147">
            <w:pPr>
              <w:jc w:val="right"/>
              <w:cnfStyle w:val="000000000000" w:firstRow="0" w:lastRow="0" w:firstColumn="0" w:lastColumn="0" w:oddVBand="0" w:evenVBand="0" w:oddHBand="0" w:evenHBand="0" w:firstRowFirstColumn="0" w:firstRowLastColumn="0" w:lastRowFirstColumn="0" w:lastRowLastColumn="0"/>
              <w:rPr>
                <w:bCs/>
              </w:rPr>
            </w:pPr>
            <w:r w:rsidRPr="00224A65">
              <w:rPr>
                <w:bCs/>
              </w:rPr>
              <w:t>100.00</w:t>
            </w:r>
          </w:p>
        </w:tc>
      </w:tr>
    </w:tbl>
    <w:p w14:paraId="19B300E3" w14:textId="5A493545" w:rsidR="0033170A" w:rsidRPr="00224A65" w:rsidRDefault="0033170A" w:rsidP="0033170A">
      <w:pPr>
        <w:rPr>
          <w:color w:val="A6A6A6" w:themeColor="background1" w:themeShade="A6"/>
        </w:rPr>
      </w:pPr>
    </w:p>
    <w:bookmarkEnd w:id="7"/>
    <w:p w14:paraId="683ED6CD" w14:textId="27871466" w:rsidR="00AA41EB" w:rsidRDefault="004F7040" w:rsidP="00C20445">
      <w:pPr>
        <w:pStyle w:val="Heading1"/>
        <w:ind w:left="0"/>
        <w:rPr>
          <w:color w:val="B4D012"/>
        </w:rPr>
      </w:pPr>
      <w:r w:rsidRPr="008730FA">
        <w:rPr>
          <w:i/>
          <w:noProof/>
          <w:sz w:val="18"/>
          <w:lang w:bidi="ar-SA"/>
        </w:rPr>
        <mc:AlternateContent>
          <mc:Choice Requires="wps">
            <w:drawing>
              <wp:inline distT="0" distB="0" distL="0" distR="0" wp14:anchorId="32ED0C9D" wp14:editId="1C1D3FDD">
                <wp:extent cx="6645910" cy="1736769"/>
                <wp:effectExtent l="0" t="0" r="21590" b="15875"/>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736769"/>
                        </a:xfrm>
                        <a:prstGeom prst="rect">
                          <a:avLst/>
                        </a:prstGeom>
                        <a:solidFill>
                          <a:schemeClr val="bg2">
                            <a:lumMod val="90000"/>
                          </a:schemeClr>
                        </a:solidFill>
                        <a:ln w="9525">
                          <a:solidFill>
                            <a:schemeClr val="tx1"/>
                          </a:solidFill>
                          <a:miter lim="800000"/>
                          <a:headEnd/>
                          <a:tailEnd/>
                        </a:ln>
                      </wps:spPr>
                      <wps:txbx>
                        <w:txbxContent>
                          <w:p w14:paraId="5C6860CB" w14:textId="77777777" w:rsidR="00BC0FB3" w:rsidRDefault="00BC0FB3" w:rsidP="004F7040">
                            <w:pPr>
                              <w:pStyle w:val="BodyText"/>
                              <w:spacing w:before="120" w:after="120"/>
                              <w:ind w:right="-28"/>
                              <w:rPr>
                                <w:rFonts w:ascii="Calibri" w:hAnsi="Calibri" w:cs="Calibri"/>
                                <w:bCs/>
                                <w:sz w:val="18"/>
                                <w:szCs w:val="18"/>
                              </w:rPr>
                            </w:pPr>
                            <w:r w:rsidRPr="00B519CB">
                              <w:rPr>
                                <w:rFonts w:ascii="Calibri" w:hAnsi="Calibri" w:cs="Calibri"/>
                                <w:i/>
                                <w:sz w:val="18"/>
                                <w:szCs w:val="18"/>
                              </w:rPr>
                              <w:t>Data source</w:t>
                            </w:r>
                            <w:r w:rsidRPr="00B519CB">
                              <w:rPr>
                                <w:rFonts w:ascii="Calibri" w:hAnsi="Calibri" w:cs="Calibri"/>
                                <w:b/>
                                <w:bCs/>
                                <w:sz w:val="18"/>
                                <w:szCs w:val="18"/>
                              </w:rPr>
                              <w:t>:</w:t>
                            </w:r>
                            <w:r w:rsidRPr="00B519CB">
                              <w:rPr>
                                <w:rFonts w:ascii="Calibri" w:hAnsi="Calibri" w:cs="Calibri"/>
                                <w:bCs/>
                                <w:sz w:val="18"/>
                                <w:szCs w:val="18"/>
                              </w:rPr>
                              <w:t xml:space="preserve"> Waka Kotahi National </w:t>
                            </w:r>
                            <w:r>
                              <w:rPr>
                                <w:rFonts w:ascii="Calibri" w:hAnsi="Calibri" w:cs="Calibri"/>
                                <w:bCs/>
                                <w:sz w:val="18"/>
                                <w:szCs w:val="18"/>
                              </w:rPr>
                              <w:t>L</w:t>
                            </w:r>
                            <w:r w:rsidRPr="00B519CB">
                              <w:rPr>
                                <w:rFonts w:ascii="Calibri" w:hAnsi="Calibri" w:cs="Calibri"/>
                                <w:bCs/>
                                <w:sz w:val="18"/>
                                <w:szCs w:val="18"/>
                              </w:rPr>
                              <w:t xml:space="preserve">and Transport Fund annual report </w:t>
                            </w:r>
                            <w:r>
                              <w:rPr>
                                <w:rFonts w:ascii="Calibri" w:hAnsi="Calibri" w:cs="Calibri"/>
                                <w:bCs/>
                                <w:sz w:val="18"/>
                                <w:szCs w:val="18"/>
                              </w:rPr>
                              <w:t xml:space="preserve">2018/19 and </w:t>
                            </w:r>
                            <w:r w:rsidRPr="00B519CB">
                              <w:rPr>
                                <w:rFonts w:ascii="Calibri" w:hAnsi="Calibri" w:cs="Calibri"/>
                                <w:bCs/>
                                <w:sz w:val="18"/>
                                <w:szCs w:val="18"/>
                              </w:rPr>
                              <w:t>2019/20.</w:t>
                            </w:r>
                            <w:r w:rsidRPr="00B519CB">
                              <w:rPr>
                                <w:rFonts w:ascii="Calibri" w:hAnsi="Calibri" w:cs="Calibri"/>
                                <w:sz w:val="18"/>
                                <w:szCs w:val="18"/>
                              </w:rPr>
                              <w:t xml:space="preserve"> The figures show investment levels from the National Land Transport Fund, local share and the Crown, and excludes  investment from the Provincial Growth Fund, SuperGold Card funding and also investment in the Investment management activity class. </w:t>
                            </w:r>
                          </w:p>
                          <w:p w14:paraId="2B56455B" w14:textId="77777777" w:rsidR="00BC0FB3" w:rsidRPr="00274E4D" w:rsidRDefault="00BC0FB3" w:rsidP="004F7040">
                            <w:pPr>
                              <w:pStyle w:val="BodyText"/>
                              <w:spacing w:before="120" w:after="120"/>
                              <w:ind w:right="-28"/>
                              <w:rPr>
                                <w:rFonts w:ascii="Calibri" w:hAnsi="Calibri" w:cs="Calibri"/>
                                <w:sz w:val="18"/>
                                <w:szCs w:val="18"/>
                              </w:rPr>
                            </w:pPr>
                            <w:r>
                              <w:rPr>
                                <w:rFonts w:ascii="Calibri" w:hAnsi="Calibri" w:cs="Calibri"/>
                                <w:sz w:val="18"/>
                                <w:szCs w:val="18"/>
                              </w:rPr>
                              <w:t>I</w:t>
                            </w:r>
                            <w:r w:rsidRPr="00237A5D">
                              <w:rPr>
                                <w:rFonts w:ascii="Calibri" w:hAnsi="Calibri" w:cs="Calibri"/>
                                <w:sz w:val="18"/>
                                <w:szCs w:val="18"/>
                              </w:rPr>
                              <w:t xml:space="preserve">nvestment in outcomes is </w:t>
                            </w:r>
                            <w:r>
                              <w:rPr>
                                <w:rFonts w:ascii="Calibri" w:hAnsi="Calibri" w:cs="Calibri"/>
                                <w:sz w:val="18"/>
                                <w:szCs w:val="18"/>
                              </w:rPr>
                              <w:t xml:space="preserve">calculated using monetised benefits provided in Transport Investment Online. For example, a </w:t>
                            </w:r>
                            <w:r w:rsidRPr="00237A5D">
                              <w:rPr>
                                <w:rFonts w:ascii="Calibri" w:hAnsi="Calibri" w:cs="Calibri"/>
                                <w:sz w:val="18"/>
                                <w:szCs w:val="18"/>
                              </w:rPr>
                              <w:t>$1</w:t>
                            </w:r>
                            <w:r>
                              <w:rPr>
                                <w:rFonts w:ascii="Calibri" w:hAnsi="Calibri" w:cs="Calibri"/>
                                <w:sz w:val="18"/>
                                <w:szCs w:val="18"/>
                              </w:rPr>
                              <w:t xml:space="preserve"> </w:t>
                            </w:r>
                            <w:r w:rsidRPr="00237A5D">
                              <w:rPr>
                                <w:rFonts w:ascii="Calibri" w:hAnsi="Calibri" w:cs="Calibri"/>
                                <w:sz w:val="18"/>
                                <w:szCs w:val="18"/>
                              </w:rPr>
                              <w:t>m</w:t>
                            </w:r>
                            <w:r>
                              <w:rPr>
                                <w:rFonts w:ascii="Calibri" w:hAnsi="Calibri" w:cs="Calibri"/>
                                <w:sz w:val="18"/>
                                <w:szCs w:val="18"/>
                              </w:rPr>
                              <w:t>illion</w:t>
                            </w:r>
                            <w:r w:rsidRPr="00237A5D">
                              <w:rPr>
                                <w:rFonts w:ascii="Calibri" w:hAnsi="Calibri" w:cs="Calibri"/>
                                <w:sz w:val="18"/>
                                <w:szCs w:val="18"/>
                              </w:rPr>
                              <w:t xml:space="preserve"> </w:t>
                            </w:r>
                            <w:r>
                              <w:rPr>
                                <w:rFonts w:ascii="Calibri" w:hAnsi="Calibri" w:cs="Calibri"/>
                                <w:sz w:val="18"/>
                                <w:szCs w:val="18"/>
                              </w:rPr>
                              <w:t xml:space="preserve">improvement </w:t>
                            </w:r>
                            <w:r w:rsidRPr="00237A5D">
                              <w:rPr>
                                <w:rFonts w:ascii="Calibri" w:hAnsi="Calibri" w:cs="Calibri"/>
                                <w:sz w:val="18"/>
                                <w:szCs w:val="18"/>
                              </w:rPr>
                              <w:t>project with 60% of monetised benefits relating to safety and 40% of monetised benefits relating to access would generate $600,000 investment towards safety outcomes and $400,000 investment towards access outcomes.</w:t>
                            </w:r>
                            <w:r>
                              <w:rPr>
                                <w:rFonts w:ascii="Calibri" w:hAnsi="Calibri" w:cs="Calibri"/>
                                <w:sz w:val="18"/>
                                <w:szCs w:val="18"/>
                              </w:rPr>
                              <w:t xml:space="preserve"> For projects with no monetised benefits such as maintenance activities, calculations are dependent on </w:t>
                            </w:r>
                            <w:r w:rsidRPr="00237A5D">
                              <w:rPr>
                                <w:rFonts w:ascii="Calibri" w:hAnsi="Calibri" w:cs="Calibri"/>
                                <w:sz w:val="18"/>
                                <w:szCs w:val="18"/>
                              </w:rPr>
                              <w:t>the activity class, work category and primary benefit</w:t>
                            </w:r>
                            <w:r>
                              <w:rPr>
                                <w:rFonts w:ascii="Calibri" w:hAnsi="Calibri" w:cs="Calibri"/>
                                <w:sz w:val="18"/>
                                <w:szCs w:val="18"/>
                              </w:rPr>
                              <w:t>s identified</w:t>
                            </w:r>
                            <w:r w:rsidRPr="00237A5D">
                              <w:rPr>
                                <w:rFonts w:ascii="Calibri" w:hAnsi="Calibri" w:cs="Calibri"/>
                                <w:sz w:val="18"/>
                                <w:szCs w:val="18"/>
                              </w:rPr>
                              <w:t>.</w:t>
                            </w:r>
                            <w:r>
                              <w:rPr>
                                <w:rFonts w:ascii="Calibri" w:hAnsi="Calibri" w:cs="Calibri"/>
                                <w:sz w:val="18"/>
                                <w:szCs w:val="18"/>
                              </w:rPr>
                              <w:t xml:space="preserve"> </w:t>
                            </w:r>
                            <w:r>
                              <w:rPr>
                                <w:rFonts w:ascii="Calibri" w:hAnsi="Calibri" w:cs="Calibri"/>
                                <w:bCs/>
                                <w:sz w:val="18"/>
                                <w:szCs w:val="18"/>
                              </w:rPr>
                              <w:t xml:space="preserve"> For example, activities under the sealed pavement maintenance work category generate investment outcomes of </w:t>
                            </w:r>
                            <w:r w:rsidRPr="00237A5D">
                              <w:rPr>
                                <w:rFonts w:ascii="Calibri" w:hAnsi="Calibri" w:cs="Calibri"/>
                                <w:bCs/>
                                <w:sz w:val="18"/>
                                <w:szCs w:val="18"/>
                              </w:rPr>
                              <w:t xml:space="preserve">20% </w:t>
                            </w:r>
                            <w:r>
                              <w:rPr>
                                <w:rFonts w:ascii="Calibri" w:hAnsi="Calibri" w:cs="Calibri"/>
                                <w:bCs/>
                                <w:sz w:val="18"/>
                                <w:szCs w:val="18"/>
                              </w:rPr>
                              <w:t xml:space="preserve">for </w:t>
                            </w:r>
                            <w:r w:rsidRPr="00237A5D">
                              <w:rPr>
                                <w:rFonts w:ascii="Calibri" w:hAnsi="Calibri" w:cs="Calibri"/>
                                <w:bCs/>
                                <w:sz w:val="18"/>
                                <w:szCs w:val="18"/>
                              </w:rPr>
                              <w:t xml:space="preserve">safety, 60% </w:t>
                            </w:r>
                            <w:r>
                              <w:rPr>
                                <w:rFonts w:ascii="Calibri" w:hAnsi="Calibri" w:cs="Calibri"/>
                                <w:bCs/>
                                <w:sz w:val="18"/>
                                <w:szCs w:val="18"/>
                              </w:rPr>
                              <w:t xml:space="preserve">for </w:t>
                            </w:r>
                            <w:r w:rsidRPr="00237A5D">
                              <w:rPr>
                                <w:rFonts w:ascii="Calibri" w:hAnsi="Calibri" w:cs="Calibri"/>
                                <w:bCs/>
                                <w:sz w:val="18"/>
                                <w:szCs w:val="18"/>
                              </w:rPr>
                              <w:t xml:space="preserve">access-access, 10% </w:t>
                            </w:r>
                            <w:r>
                              <w:rPr>
                                <w:rFonts w:ascii="Calibri" w:hAnsi="Calibri" w:cs="Calibri"/>
                                <w:bCs/>
                                <w:sz w:val="18"/>
                                <w:szCs w:val="18"/>
                              </w:rPr>
                              <w:t xml:space="preserve">for </w:t>
                            </w:r>
                            <w:r w:rsidRPr="00237A5D">
                              <w:rPr>
                                <w:rFonts w:ascii="Calibri" w:hAnsi="Calibri" w:cs="Calibri"/>
                                <w:bCs/>
                                <w:sz w:val="18"/>
                                <w:szCs w:val="18"/>
                              </w:rPr>
                              <w:t>access-choice and 10% environment</w:t>
                            </w:r>
                            <w:r>
                              <w:rPr>
                                <w:rFonts w:ascii="Calibri" w:hAnsi="Calibri" w:cs="Calibri"/>
                                <w:bCs/>
                                <w:sz w:val="18"/>
                                <w:szCs w:val="18"/>
                              </w:rPr>
                              <w:t>. This split reflects the purpose of all activities placed under this work category and is the basis for estimating the value of investment outcomes of such activities.</w:t>
                            </w:r>
                          </w:p>
                          <w:p w14:paraId="13C12F4B" w14:textId="77777777" w:rsidR="00BC0FB3" w:rsidRDefault="00BC0FB3" w:rsidP="004F7040">
                            <w:pPr>
                              <w:pStyle w:val="BodyText"/>
                              <w:spacing w:before="120" w:after="120"/>
                              <w:ind w:right="-28"/>
                            </w:pPr>
                          </w:p>
                        </w:txbxContent>
                      </wps:txbx>
                      <wps:bodyPr rot="0" vert="horz" wrap="square" lIns="91440" tIns="45720" rIns="91440" bIns="45720" anchor="t" anchorCtr="0">
                        <a:noAutofit/>
                      </wps:bodyPr>
                    </wps:wsp>
                  </a:graphicData>
                </a:graphic>
              </wp:inline>
            </w:drawing>
          </mc:Choice>
          <mc:Fallback>
            <w:pict>
              <v:shape w14:anchorId="32ED0C9D" id="Text Box 2" o:spid="_x0000_s1028" type="#_x0000_t202" style="width:523.3pt;height:1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" fillcolor="#cfcdcd [2894]" strokecolor="black [3213]">
                <v:textbox>
                  <w:txbxContent>
                    <w:p w14:paraId="5C6860CB" w14:textId="77777777" w:rsidR="00BC0FB3" w:rsidRDefault="00BC0FB3" w:rsidP="004F7040">
                      <w:pPr>
                        <w:pStyle w:val="BodyText"/>
                        <w:spacing w:before="120" w:after="120"/>
                        <w:ind w:right="-28"/>
                        <w:rPr>
                          <w:rFonts w:ascii="Calibri" w:hAnsi="Calibri" w:cs="Calibri"/>
                          <w:bCs/>
                          <w:sz w:val="18"/>
                          <w:szCs w:val="18"/>
                        </w:rPr>
                      </w:pPr>
                      <w:r w:rsidRPr="00B519CB">
                        <w:rPr>
                          <w:rFonts w:ascii="Calibri" w:hAnsi="Calibri" w:cs="Calibri"/>
                          <w:i/>
                          <w:sz w:val="18"/>
                          <w:szCs w:val="18"/>
                        </w:rPr>
                        <w:t>Data source</w:t>
                      </w:r>
                      <w:r w:rsidRPr="00B519CB">
                        <w:rPr>
                          <w:rFonts w:ascii="Calibri" w:hAnsi="Calibri" w:cs="Calibri"/>
                          <w:b/>
                          <w:bCs/>
                          <w:sz w:val="18"/>
                          <w:szCs w:val="18"/>
                        </w:rPr>
                        <w:t>:</w:t>
                      </w:r>
                      <w:r w:rsidRPr="00B519CB">
                        <w:rPr>
                          <w:rFonts w:ascii="Calibri" w:hAnsi="Calibri" w:cs="Calibri"/>
                          <w:bCs/>
                          <w:sz w:val="18"/>
                          <w:szCs w:val="18"/>
                        </w:rPr>
                        <w:t xml:space="preserve"> Waka Kotahi National </w:t>
                      </w:r>
                      <w:r>
                        <w:rPr>
                          <w:rFonts w:ascii="Calibri" w:hAnsi="Calibri" w:cs="Calibri"/>
                          <w:bCs/>
                          <w:sz w:val="18"/>
                          <w:szCs w:val="18"/>
                        </w:rPr>
                        <w:t>L</w:t>
                      </w:r>
                      <w:r w:rsidRPr="00B519CB">
                        <w:rPr>
                          <w:rFonts w:ascii="Calibri" w:hAnsi="Calibri" w:cs="Calibri"/>
                          <w:bCs/>
                          <w:sz w:val="18"/>
                          <w:szCs w:val="18"/>
                        </w:rPr>
                        <w:t xml:space="preserve">and Transport Fund annual report </w:t>
                      </w:r>
                      <w:r>
                        <w:rPr>
                          <w:rFonts w:ascii="Calibri" w:hAnsi="Calibri" w:cs="Calibri"/>
                          <w:bCs/>
                          <w:sz w:val="18"/>
                          <w:szCs w:val="18"/>
                        </w:rPr>
                        <w:t xml:space="preserve">2018/19 and </w:t>
                      </w:r>
                      <w:r w:rsidRPr="00B519CB">
                        <w:rPr>
                          <w:rFonts w:ascii="Calibri" w:hAnsi="Calibri" w:cs="Calibri"/>
                          <w:bCs/>
                          <w:sz w:val="18"/>
                          <w:szCs w:val="18"/>
                        </w:rPr>
                        <w:t>2019/20.</w:t>
                      </w:r>
                      <w:r w:rsidRPr="00B519CB">
                        <w:rPr>
                          <w:rFonts w:ascii="Calibri" w:hAnsi="Calibri" w:cs="Calibri"/>
                          <w:sz w:val="18"/>
                          <w:szCs w:val="18"/>
                        </w:rPr>
                        <w:t xml:space="preserve"> The figures show investment levels from the National Land Transport Fund, local share and the Crown, and excludes  investment from the Provincial Growth Fund, SuperGold Card funding and also investment in the Investment management activity class. </w:t>
                      </w:r>
                    </w:p>
                    <w:p w14:paraId="2B56455B" w14:textId="77777777" w:rsidR="00BC0FB3" w:rsidRPr="00274E4D" w:rsidRDefault="00BC0FB3" w:rsidP="004F7040">
                      <w:pPr>
                        <w:pStyle w:val="BodyText"/>
                        <w:spacing w:before="120" w:after="120"/>
                        <w:ind w:right="-28"/>
                        <w:rPr>
                          <w:rFonts w:ascii="Calibri" w:hAnsi="Calibri" w:cs="Calibri"/>
                          <w:sz w:val="18"/>
                          <w:szCs w:val="18"/>
                        </w:rPr>
                      </w:pPr>
                      <w:r>
                        <w:rPr>
                          <w:rFonts w:ascii="Calibri" w:hAnsi="Calibri" w:cs="Calibri"/>
                          <w:sz w:val="18"/>
                          <w:szCs w:val="18"/>
                        </w:rPr>
                        <w:t>I</w:t>
                      </w:r>
                      <w:r w:rsidRPr="00237A5D">
                        <w:rPr>
                          <w:rFonts w:ascii="Calibri" w:hAnsi="Calibri" w:cs="Calibri"/>
                          <w:sz w:val="18"/>
                          <w:szCs w:val="18"/>
                        </w:rPr>
                        <w:t xml:space="preserve">nvestment in outcomes is </w:t>
                      </w:r>
                      <w:r>
                        <w:rPr>
                          <w:rFonts w:ascii="Calibri" w:hAnsi="Calibri" w:cs="Calibri"/>
                          <w:sz w:val="18"/>
                          <w:szCs w:val="18"/>
                        </w:rPr>
                        <w:t xml:space="preserve">calculated using monetised benefits provided in Transport Investment Online. For example, a </w:t>
                      </w:r>
                      <w:r w:rsidRPr="00237A5D">
                        <w:rPr>
                          <w:rFonts w:ascii="Calibri" w:hAnsi="Calibri" w:cs="Calibri"/>
                          <w:sz w:val="18"/>
                          <w:szCs w:val="18"/>
                        </w:rPr>
                        <w:t>$1</w:t>
                      </w:r>
                      <w:r>
                        <w:rPr>
                          <w:rFonts w:ascii="Calibri" w:hAnsi="Calibri" w:cs="Calibri"/>
                          <w:sz w:val="18"/>
                          <w:szCs w:val="18"/>
                        </w:rPr>
                        <w:t xml:space="preserve"> </w:t>
                      </w:r>
                      <w:r w:rsidRPr="00237A5D">
                        <w:rPr>
                          <w:rFonts w:ascii="Calibri" w:hAnsi="Calibri" w:cs="Calibri"/>
                          <w:sz w:val="18"/>
                          <w:szCs w:val="18"/>
                        </w:rPr>
                        <w:t>m</w:t>
                      </w:r>
                      <w:r>
                        <w:rPr>
                          <w:rFonts w:ascii="Calibri" w:hAnsi="Calibri" w:cs="Calibri"/>
                          <w:sz w:val="18"/>
                          <w:szCs w:val="18"/>
                        </w:rPr>
                        <w:t>illion</w:t>
                      </w:r>
                      <w:r w:rsidRPr="00237A5D">
                        <w:rPr>
                          <w:rFonts w:ascii="Calibri" w:hAnsi="Calibri" w:cs="Calibri"/>
                          <w:sz w:val="18"/>
                          <w:szCs w:val="18"/>
                        </w:rPr>
                        <w:t xml:space="preserve"> </w:t>
                      </w:r>
                      <w:r>
                        <w:rPr>
                          <w:rFonts w:ascii="Calibri" w:hAnsi="Calibri" w:cs="Calibri"/>
                          <w:sz w:val="18"/>
                          <w:szCs w:val="18"/>
                        </w:rPr>
                        <w:t xml:space="preserve">improvement </w:t>
                      </w:r>
                      <w:r w:rsidRPr="00237A5D">
                        <w:rPr>
                          <w:rFonts w:ascii="Calibri" w:hAnsi="Calibri" w:cs="Calibri"/>
                          <w:sz w:val="18"/>
                          <w:szCs w:val="18"/>
                        </w:rPr>
                        <w:t>project with 60% of monetised benefits relating to safety and 40% of monetised benefits relating to access would generate $600,000 investment towards safety outcomes and $400,000 investment towards access outcomes.</w:t>
                      </w:r>
                      <w:r>
                        <w:rPr>
                          <w:rFonts w:ascii="Calibri" w:hAnsi="Calibri" w:cs="Calibri"/>
                          <w:sz w:val="18"/>
                          <w:szCs w:val="18"/>
                        </w:rPr>
                        <w:t xml:space="preserve"> For projects with no monetised benefits such as maintenance activities, calculations are dependent on </w:t>
                      </w:r>
                      <w:r w:rsidRPr="00237A5D">
                        <w:rPr>
                          <w:rFonts w:ascii="Calibri" w:hAnsi="Calibri" w:cs="Calibri"/>
                          <w:sz w:val="18"/>
                          <w:szCs w:val="18"/>
                        </w:rPr>
                        <w:t>the activity class, work category and primary benefit</w:t>
                      </w:r>
                      <w:r>
                        <w:rPr>
                          <w:rFonts w:ascii="Calibri" w:hAnsi="Calibri" w:cs="Calibri"/>
                          <w:sz w:val="18"/>
                          <w:szCs w:val="18"/>
                        </w:rPr>
                        <w:t>s identified</w:t>
                      </w:r>
                      <w:r w:rsidRPr="00237A5D">
                        <w:rPr>
                          <w:rFonts w:ascii="Calibri" w:hAnsi="Calibri" w:cs="Calibri"/>
                          <w:sz w:val="18"/>
                          <w:szCs w:val="18"/>
                        </w:rPr>
                        <w:t>.</w:t>
                      </w:r>
                      <w:r>
                        <w:rPr>
                          <w:rFonts w:ascii="Calibri" w:hAnsi="Calibri" w:cs="Calibri"/>
                          <w:sz w:val="18"/>
                          <w:szCs w:val="18"/>
                        </w:rPr>
                        <w:t xml:space="preserve"> </w:t>
                      </w:r>
                      <w:r>
                        <w:rPr>
                          <w:rFonts w:ascii="Calibri" w:hAnsi="Calibri" w:cs="Calibri"/>
                          <w:bCs/>
                          <w:sz w:val="18"/>
                          <w:szCs w:val="18"/>
                        </w:rPr>
                        <w:t xml:space="preserve"> For example, activities under the sealed pavement maintenance work category generate investment outcomes of </w:t>
                      </w:r>
                      <w:r w:rsidRPr="00237A5D">
                        <w:rPr>
                          <w:rFonts w:ascii="Calibri" w:hAnsi="Calibri" w:cs="Calibri"/>
                          <w:bCs/>
                          <w:sz w:val="18"/>
                          <w:szCs w:val="18"/>
                        </w:rPr>
                        <w:t xml:space="preserve">20% </w:t>
                      </w:r>
                      <w:r>
                        <w:rPr>
                          <w:rFonts w:ascii="Calibri" w:hAnsi="Calibri" w:cs="Calibri"/>
                          <w:bCs/>
                          <w:sz w:val="18"/>
                          <w:szCs w:val="18"/>
                        </w:rPr>
                        <w:t xml:space="preserve">for </w:t>
                      </w:r>
                      <w:r w:rsidRPr="00237A5D">
                        <w:rPr>
                          <w:rFonts w:ascii="Calibri" w:hAnsi="Calibri" w:cs="Calibri"/>
                          <w:bCs/>
                          <w:sz w:val="18"/>
                          <w:szCs w:val="18"/>
                        </w:rPr>
                        <w:t xml:space="preserve">safety, 60% </w:t>
                      </w:r>
                      <w:r>
                        <w:rPr>
                          <w:rFonts w:ascii="Calibri" w:hAnsi="Calibri" w:cs="Calibri"/>
                          <w:bCs/>
                          <w:sz w:val="18"/>
                          <w:szCs w:val="18"/>
                        </w:rPr>
                        <w:t xml:space="preserve">for </w:t>
                      </w:r>
                      <w:r w:rsidRPr="00237A5D">
                        <w:rPr>
                          <w:rFonts w:ascii="Calibri" w:hAnsi="Calibri" w:cs="Calibri"/>
                          <w:bCs/>
                          <w:sz w:val="18"/>
                          <w:szCs w:val="18"/>
                        </w:rPr>
                        <w:t xml:space="preserve">access-access, 10% </w:t>
                      </w:r>
                      <w:r>
                        <w:rPr>
                          <w:rFonts w:ascii="Calibri" w:hAnsi="Calibri" w:cs="Calibri"/>
                          <w:bCs/>
                          <w:sz w:val="18"/>
                          <w:szCs w:val="18"/>
                        </w:rPr>
                        <w:t xml:space="preserve">for </w:t>
                      </w:r>
                      <w:r w:rsidRPr="00237A5D">
                        <w:rPr>
                          <w:rFonts w:ascii="Calibri" w:hAnsi="Calibri" w:cs="Calibri"/>
                          <w:bCs/>
                          <w:sz w:val="18"/>
                          <w:szCs w:val="18"/>
                        </w:rPr>
                        <w:t>access-choice and 10% environment</w:t>
                      </w:r>
                      <w:r>
                        <w:rPr>
                          <w:rFonts w:ascii="Calibri" w:hAnsi="Calibri" w:cs="Calibri"/>
                          <w:bCs/>
                          <w:sz w:val="18"/>
                          <w:szCs w:val="18"/>
                        </w:rPr>
                        <w:t>. This split reflects the purpose of all activities placed under this work category and is the basis for estimating the value of investment outcomes of such activities.</w:t>
                      </w:r>
                    </w:p>
                    <w:p w14:paraId="13C12F4B" w14:textId="77777777" w:rsidR="00BC0FB3" w:rsidRDefault="00BC0FB3" w:rsidP="004F7040">
                      <w:pPr>
                        <w:pStyle w:val="BodyText"/>
                        <w:spacing w:before="120" w:after="120"/>
                        <w:ind w:right="-28"/>
                      </w:pPr>
                    </w:p>
                  </w:txbxContent>
                </v:textbox>
                <w10:anchorlock/>
              </v:shape>
            </w:pict>
          </mc:Fallback>
        </mc:AlternateContent>
      </w:r>
    </w:p>
    <w:p w14:paraId="6C7EB7F0" w14:textId="77777777" w:rsidR="001523E2" w:rsidRDefault="001523E2" w:rsidP="00C20445">
      <w:pPr>
        <w:pStyle w:val="Heading1"/>
        <w:ind w:left="0"/>
        <w:rPr>
          <w:color w:val="B4D012"/>
        </w:rPr>
      </w:pPr>
    </w:p>
    <w:p w14:paraId="4DC3564E" w14:textId="7544D3D0" w:rsidR="00C20445" w:rsidRDefault="00170CDB" w:rsidP="00C20445">
      <w:pPr>
        <w:pStyle w:val="Heading1"/>
        <w:ind w:left="0"/>
        <w:rPr>
          <w:color w:val="B4D012"/>
        </w:rPr>
      </w:pPr>
      <w:r>
        <w:rPr>
          <w:color w:val="B4D012"/>
        </w:rPr>
        <w:t>Active Mode Investment</w:t>
      </w:r>
    </w:p>
    <w:p w14:paraId="59D2D463" w14:textId="77777777" w:rsidR="00991924" w:rsidRDefault="00991924" w:rsidP="00991924">
      <w:pPr>
        <w:rPr>
          <w:b/>
        </w:rPr>
      </w:pPr>
    </w:p>
    <w:p w14:paraId="082AC2F1" w14:textId="77777777" w:rsidR="00991924" w:rsidRDefault="00991924" w:rsidP="00991924">
      <w:pPr>
        <w:rPr>
          <w:b/>
        </w:rPr>
      </w:pPr>
      <w:r>
        <w:rPr>
          <w:b/>
        </w:rPr>
        <w:t xml:space="preserve">Summary of results </w:t>
      </w:r>
    </w:p>
    <w:p w14:paraId="6B855D62" w14:textId="1E7FAE2D" w:rsidR="004A41A7" w:rsidRPr="004A41A7" w:rsidRDefault="004A41A7" w:rsidP="004A41A7">
      <w:pPr>
        <w:keepNext/>
        <w:rPr>
          <w:rStyle w:val="Strong"/>
          <w:b w:val="0"/>
        </w:rPr>
      </w:pPr>
      <w:r w:rsidRPr="004A41A7">
        <w:rPr>
          <w:rStyle w:val="Strong"/>
          <w:b w:val="0"/>
        </w:rPr>
        <w:t xml:space="preserve">Network kilometres of walking and cycling facilities delivered refers to the total length of new walking and cycling facilities added to the network, including lengths on existing pathways and </w:t>
      </w:r>
      <w:r w:rsidR="002C23AF" w:rsidRPr="004A41A7">
        <w:rPr>
          <w:rStyle w:val="Strong"/>
          <w:b w:val="0"/>
        </w:rPr>
        <w:t>cycle ways</w:t>
      </w:r>
      <w:r w:rsidRPr="004A41A7">
        <w:rPr>
          <w:rStyle w:val="Strong"/>
          <w:b w:val="0"/>
        </w:rPr>
        <w:t xml:space="preserve"> where improvements were made. </w:t>
      </w:r>
    </w:p>
    <w:p w14:paraId="507CF7A8" w14:textId="77777777" w:rsidR="00991924" w:rsidRPr="00991924" w:rsidRDefault="00331F5E" w:rsidP="00991924">
      <w:pPr>
        <w:pStyle w:val="Heading3"/>
        <w:spacing w:before="120" w:after="120"/>
        <w:rPr>
          <w:b/>
          <w:color w:val="B4D012"/>
        </w:rPr>
      </w:pPr>
      <w:r w:rsidRPr="00331F5E">
        <w:rPr>
          <w:b/>
          <w:color w:val="B4D012"/>
        </w:rPr>
        <w:t xml:space="preserve">Investment </w:t>
      </w:r>
      <w:r w:rsidR="009748B7">
        <w:rPr>
          <w:b/>
          <w:color w:val="B4D012"/>
        </w:rPr>
        <w:t xml:space="preserve">in </w:t>
      </w:r>
      <w:r w:rsidRPr="00331F5E">
        <w:rPr>
          <w:b/>
          <w:color w:val="B4D012"/>
        </w:rPr>
        <w:t>walking and cycling</w:t>
      </w:r>
      <w:r w:rsidR="003624CB">
        <w:rPr>
          <w:b/>
          <w:color w:val="B4D012"/>
        </w:rPr>
        <w:t xml:space="preserve"> and key outputs</w:t>
      </w:r>
    </w:p>
    <w:tbl>
      <w:tblPr>
        <w:tblStyle w:val="GridTable4-Accent4"/>
        <w:tblW w:w="5000" w:type="pct"/>
        <w:tblLook w:val="04A0" w:firstRow="1" w:lastRow="0" w:firstColumn="1" w:lastColumn="0" w:noHBand="0" w:noVBand="1"/>
      </w:tblPr>
      <w:tblGrid>
        <w:gridCol w:w="2385"/>
        <w:gridCol w:w="1617"/>
        <w:gridCol w:w="1616"/>
        <w:gridCol w:w="1616"/>
        <w:gridCol w:w="1616"/>
        <w:gridCol w:w="1606"/>
      </w:tblGrid>
      <w:tr w:rsidR="00331F5E" w14:paraId="77CC3CA5" w14:textId="77777777" w:rsidTr="004018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0" w:type="pct"/>
            <w:tcBorders>
              <w:top w:val="single" w:sz="4" w:space="0" w:color="B4D012"/>
              <w:left w:val="single" w:sz="4" w:space="0" w:color="B4D012"/>
              <w:bottom w:val="single" w:sz="4" w:space="0" w:color="B4D012"/>
              <w:right w:val="single" w:sz="4" w:space="0" w:color="B4D012"/>
            </w:tcBorders>
            <w:shd w:val="clear" w:color="auto" w:fill="B4D012"/>
          </w:tcPr>
          <w:p w14:paraId="6535CC5C" w14:textId="77777777" w:rsidR="00331F5E" w:rsidRPr="00964100" w:rsidRDefault="00331F5E" w:rsidP="00BC2502">
            <w:pPr>
              <w:pStyle w:val="BodyText"/>
            </w:pPr>
          </w:p>
        </w:tc>
        <w:tc>
          <w:tcPr>
            <w:tcW w:w="773" w:type="pct"/>
            <w:tcBorders>
              <w:top w:val="single" w:sz="4" w:space="0" w:color="B4D012"/>
              <w:left w:val="single" w:sz="4" w:space="0" w:color="B4D012"/>
              <w:bottom w:val="single" w:sz="4" w:space="0" w:color="B4D012"/>
              <w:right w:val="single" w:sz="4" w:space="0" w:color="B4D012"/>
            </w:tcBorders>
            <w:shd w:val="clear" w:color="auto" w:fill="B4D012"/>
          </w:tcPr>
          <w:p w14:paraId="5BEDC794" w14:textId="77777777" w:rsidR="00331F5E" w:rsidRPr="00964100" w:rsidRDefault="00331F5E" w:rsidP="00BC2502">
            <w:pPr>
              <w:pStyle w:val="BodyText"/>
              <w:jc w:val="center"/>
              <w:cnfStyle w:val="100000000000" w:firstRow="1" w:lastRow="0" w:firstColumn="0" w:lastColumn="0" w:oddVBand="0" w:evenVBand="0" w:oddHBand="0" w:evenHBand="0" w:firstRowFirstColumn="0" w:firstRowLastColumn="0" w:lastRowFirstColumn="0" w:lastRowLastColumn="0"/>
            </w:pPr>
            <w:r w:rsidRPr="00964100">
              <w:t>2015/16</w:t>
            </w:r>
          </w:p>
        </w:tc>
        <w:tc>
          <w:tcPr>
            <w:tcW w:w="773" w:type="pct"/>
            <w:tcBorders>
              <w:top w:val="single" w:sz="4" w:space="0" w:color="B4D012"/>
              <w:left w:val="single" w:sz="4" w:space="0" w:color="B4D012"/>
              <w:bottom w:val="single" w:sz="4" w:space="0" w:color="B4D012"/>
              <w:right w:val="single" w:sz="4" w:space="0" w:color="B4D012"/>
            </w:tcBorders>
            <w:shd w:val="clear" w:color="auto" w:fill="B4D012"/>
          </w:tcPr>
          <w:p w14:paraId="4C0E50A8" w14:textId="77777777" w:rsidR="00331F5E" w:rsidRPr="00964100" w:rsidRDefault="00331F5E" w:rsidP="00BC2502">
            <w:pPr>
              <w:pStyle w:val="BodyText"/>
              <w:jc w:val="center"/>
              <w:cnfStyle w:val="100000000000" w:firstRow="1" w:lastRow="0" w:firstColumn="0" w:lastColumn="0" w:oddVBand="0" w:evenVBand="0" w:oddHBand="0" w:evenHBand="0" w:firstRowFirstColumn="0" w:firstRowLastColumn="0" w:lastRowFirstColumn="0" w:lastRowLastColumn="0"/>
            </w:pPr>
            <w:r w:rsidRPr="00964100">
              <w:t>2016/17</w:t>
            </w:r>
          </w:p>
        </w:tc>
        <w:tc>
          <w:tcPr>
            <w:tcW w:w="773" w:type="pct"/>
            <w:tcBorders>
              <w:top w:val="single" w:sz="4" w:space="0" w:color="B4D012"/>
              <w:left w:val="single" w:sz="4" w:space="0" w:color="B4D012"/>
              <w:bottom w:val="single" w:sz="4" w:space="0" w:color="B4D012"/>
              <w:right w:val="single" w:sz="4" w:space="0" w:color="B4D012"/>
            </w:tcBorders>
            <w:shd w:val="clear" w:color="auto" w:fill="B4D012"/>
          </w:tcPr>
          <w:p w14:paraId="5C391957" w14:textId="77777777" w:rsidR="00331F5E" w:rsidRPr="00964100" w:rsidRDefault="00331F5E" w:rsidP="00BC2502">
            <w:pPr>
              <w:pStyle w:val="BodyText"/>
              <w:jc w:val="center"/>
              <w:cnfStyle w:val="100000000000" w:firstRow="1" w:lastRow="0" w:firstColumn="0" w:lastColumn="0" w:oddVBand="0" w:evenVBand="0" w:oddHBand="0" w:evenHBand="0" w:firstRowFirstColumn="0" w:firstRowLastColumn="0" w:lastRowFirstColumn="0" w:lastRowLastColumn="0"/>
            </w:pPr>
            <w:r w:rsidRPr="00964100">
              <w:t>2017/18</w:t>
            </w:r>
          </w:p>
        </w:tc>
        <w:tc>
          <w:tcPr>
            <w:tcW w:w="773" w:type="pct"/>
            <w:tcBorders>
              <w:top w:val="single" w:sz="4" w:space="0" w:color="B4D012"/>
              <w:left w:val="single" w:sz="4" w:space="0" w:color="B4D012"/>
              <w:bottom w:val="single" w:sz="4" w:space="0" w:color="B4D012"/>
              <w:right w:val="single" w:sz="4" w:space="0" w:color="B4D012"/>
            </w:tcBorders>
            <w:shd w:val="clear" w:color="auto" w:fill="B4D012"/>
          </w:tcPr>
          <w:p w14:paraId="158E166B" w14:textId="77777777" w:rsidR="00331F5E" w:rsidRPr="00964100" w:rsidRDefault="00331F5E" w:rsidP="00BC2502">
            <w:pPr>
              <w:pStyle w:val="BodyText"/>
              <w:jc w:val="center"/>
              <w:cnfStyle w:val="100000000000" w:firstRow="1" w:lastRow="0" w:firstColumn="0" w:lastColumn="0" w:oddVBand="0" w:evenVBand="0" w:oddHBand="0" w:evenHBand="0" w:firstRowFirstColumn="0" w:firstRowLastColumn="0" w:lastRowFirstColumn="0" w:lastRowLastColumn="0"/>
            </w:pPr>
            <w:r w:rsidRPr="00964100">
              <w:t>2018/19</w:t>
            </w:r>
          </w:p>
        </w:tc>
        <w:tc>
          <w:tcPr>
            <w:tcW w:w="768" w:type="pct"/>
            <w:tcBorders>
              <w:top w:val="single" w:sz="4" w:space="0" w:color="B4D012"/>
              <w:left w:val="single" w:sz="4" w:space="0" w:color="B4D012"/>
              <w:bottom w:val="single" w:sz="4" w:space="0" w:color="B4D012"/>
              <w:right w:val="single" w:sz="4" w:space="0" w:color="B4D012"/>
            </w:tcBorders>
            <w:shd w:val="clear" w:color="auto" w:fill="B4D012"/>
          </w:tcPr>
          <w:p w14:paraId="06FECB5C" w14:textId="77777777" w:rsidR="00331F5E" w:rsidRPr="00964100" w:rsidRDefault="00331F5E" w:rsidP="00BC2502">
            <w:pPr>
              <w:pStyle w:val="BodyText"/>
              <w:jc w:val="center"/>
              <w:cnfStyle w:val="100000000000" w:firstRow="1" w:lastRow="0" w:firstColumn="0" w:lastColumn="0" w:oddVBand="0" w:evenVBand="0" w:oddHBand="0" w:evenHBand="0" w:firstRowFirstColumn="0" w:firstRowLastColumn="0" w:lastRowFirstColumn="0" w:lastRowLastColumn="0"/>
            </w:pPr>
            <w:r w:rsidRPr="00964100">
              <w:t>2019/20</w:t>
            </w:r>
          </w:p>
        </w:tc>
      </w:tr>
      <w:tr w:rsidR="00331F5E" w14:paraId="477898B8" w14:textId="77777777" w:rsidTr="00401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0" w:type="pct"/>
            <w:tcBorders>
              <w:top w:val="single" w:sz="4" w:space="0" w:color="B4D012"/>
              <w:left w:val="single" w:sz="4" w:space="0" w:color="B4D012"/>
              <w:right w:val="single" w:sz="4" w:space="0" w:color="B4D012"/>
            </w:tcBorders>
            <w:shd w:val="clear" w:color="auto" w:fill="EDF8AA"/>
          </w:tcPr>
          <w:p w14:paraId="1BDF4522" w14:textId="77777777" w:rsidR="00331F5E" w:rsidRPr="002C23AF" w:rsidRDefault="00331F5E" w:rsidP="00BC2502">
            <w:pPr>
              <w:pStyle w:val="BodyText"/>
              <w:rPr>
                <w:b w:val="0"/>
              </w:rPr>
            </w:pPr>
            <w:r w:rsidRPr="002C23AF">
              <w:rPr>
                <w:b w:val="0"/>
              </w:rPr>
              <w:t>Network kilometres of walking and cycling facilities delivered</w:t>
            </w:r>
          </w:p>
        </w:tc>
        <w:tc>
          <w:tcPr>
            <w:tcW w:w="773" w:type="pct"/>
            <w:tcBorders>
              <w:top w:val="single" w:sz="4" w:space="0" w:color="B4D012"/>
              <w:left w:val="single" w:sz="4" w:space="0" w:color="B4D012"/>
              <w:right w:val="single" w:sz="4" w:space="0" w:color="B4D012"/>
            </w:tcBorders>
            <w:shd w:val="clear" w:color="auto" w:fill="EDF8AA"/>
          </w:tcPr>
          <w:p w14:paraId="5F6BE4F5" w14:textId="77777777" w:rsidR="00331F5E" w:rsidRPr="00964100" w:rsidRDefault="00331F5E" w:rsidP="00BC2502">
            <w:pPr>
              <w:jc w:val="center"/>
              <w:cnfStyle w:val="000000100000" w:firstRow="0" w:lastRow="0" w:firstColumn="0" w:lastColumn="0" w:oddVBand="0" w:evenVBand="0" w:oddHBand="1" w:evenHBand="0" w:firstRowFirstColumn="0" w:firstRowLastColumn="0" w:lastRowFirstColumn="0" w:lastRowLastColumn="0"/>
            </w:pPr>
            <w:r w:rsidRPr="00964100">
              <w:t>45.5km</w:t>
            </w:r>
          </w:p>
        </w:tc>
        <w:tc>
          <w:tcPr>
            <w:tcW w:w="773" w:type="pct"/>
            <w:tcBorders>
              <w:top w:val="single" w:sz="4" w:space="0" w:color="B4D012"/>
              <w:left w:val="single" w:sz="4" w:space="0" w:color="B4D012"/>
              <w:right w:val="single" w:sz="4" w:space="0" w:color="B4D012"/>
            </w:tcBorders>
            <w:shd w:val="clear" w:color="auto" w:fill="EDF8AA"/>
          </w:tcPr>
          <w:p w14:paraId="493B64A8" w14:textId="77777777" w:rsidR="00331F5E" w:rsidRPr="00964100" w:rsidRDefault="00331F5E" w:rsidP="00BC2502">
            <w:pPr>
              <w:jc w:val="center"/>
              <w:cnfStyle w:val="000000100000" w:firstRow="0" w:lastRow="0" w:firstColumn="0" w:lastColumn="0" w:oddVBand="0" w:evenVBand="0" w:oddHBand="1" w:evenHBand="0" w:firstRowFirstColumn="0" w:firstRowLastColumn="0" w:lastRowFirstColumn="0" w:lastRowLastColumn="0"/>
            </w:pPr>
            <w:r w:rsidRPr="00964100">
              <w:t>91.4km</w:t>
            </w:r>
          </w:p>
        </w:tc>
        <w:tc>
          <w:tcPr>
            <w:tcW w:w="773" w:type="pct"/>
            <w:tcBorders>
              <w:top w:val="single" w:sz="4" w:space="0" w:color="B4D012"/>
              <w:left w:val="single" w:sz="4" w:space="0" w:color="B4D012"/>
              <w:right w:val="single" w:sz="4" w:space="0" w:color="B4D012"/>
            </w:tcBorders>
            <w:shd w:val="clear" w:color="auto" w:fill="EDF8AA"/>
          </w:tcPr>
          <w:p w14:paraId="06915481" w14:textId="77777777" w:rsidR="00331F5E" w:rsidRPr="00964100" w:rsidRDefault="00331F5E" w:rsidP="00BC2502">
            <w:pPr>
              <w:jc w:val="center"/>
              <w:cnfStyle w:val="000000100000" w:firstRow="0" w:lastRow="0" w:firstColumn="0" w:lastColumn="0" w:oddVBand="0" w:evenVBand="0" w:oddHBand="1" w:evenHBand="0" w:firstRowFirstColumn="0" w:firstRowLastColumn="0" w:lastRowFirstColumn="0" w:lastRowLastColumn="0"/>
            </w:pPr>
            <w:r w:rsidRPr="00964100">
              <w:t>79.3km</w:t>
            </w:r>
          </w:p>
        </w:tc>
        <w:tc>
          <w:tcPr>
            <w:tcW w:w="773" w:type="pct"/>
            <w:tcBorders>
              <w:top w:val="single" w:sz="4" w:space="0" w:color="B4D012"/>
              <w:left w:val="single" w:sz="4" w:space="0" w:color="B4D012"/>
              <w:right w:val="single" w:sz="4" w:space="0" w:color="B4D012"/>
            </w:tcBorders>
            <w:shd w:val="clear" w:color="auto" w:fill="EDF8AA"/>
          </w:tcPr>
          <w:p w14:paraId="106399AE" w14:textId="77777777" w:rsidR="00331F5E" w:rsidRPr="00964100" w:rsidRDefault="00331F5E" w:rsidP="00BC2502">
            <w:pPr>
              <w:jc w:val="center"/>
              <w:cnfStyle w:val="000000100000" w:firstRow="0" w:lastRow="0" w:firstColumn="0" w:lastColumn="0" w:oddVBand="0" w:evenVBand="0" w:oddHBand="1" w:evenHBand="0" w:firstRowFirstColumn="0" w:firstRowLastColumn="0" w:lastRowFirstColumn="0" w:lastRowLastColumn="0"/>
            </w:pPr>
            <w:r w:rsidRPr="00964100">
              <w:t>104.8km</w:t>
            </w:r>
          </w:p>
        </w:tc>
        <w:tc>
          <w:tcPr>
            <w:tcW w:w="768" w:type="pct"/>
            <w:tcBorders>
              <w:top w:val="single" w:sz="4" w:space="0" w:color="B4D012"/>
              <w:left w:val="single" w:sz="4" w:space="0" w:color="B4D012"/>
              <w:right w:val="single" w:sz="4" w:space="0" w:color="B4D012"/>
            </w:tcBorders>
            <w:shd w:val="clear" w:color="auto" w:fill="EDF8AA"/>
          </w:tcPr>
          <w:p w14:paraId="580B6042" w14:textId="77777777" w:rsidR="00331F5E" w:rsidRPr="00964100" w:rsidRDefault="00331F5E" w:rsidP="00BC2502">
            <w:pPr>
              <w:pStyle w:val="BodyText"/>
              <w:jc w:val="center"/>
              <w:cnfStyle w:val="000000100000" w:firstRow="0" w:lastRow="0" w:firstColumn="0" w:lastColumn="0" w:oddVBand="0" w:evenVBand="0" w:oddHBand="1" w:evenHBand="0" w:firstRowFirstColumn="0" w:firstRowLastColumn="0" w:lastRowFirstColumn="0" w:lastRowLastColumn="0"/>
            </w:pPr>
            <w:r w:rsidRPr="00964100">
              <w:t>63.2km</w:t>
            </w:r>
          </w:p>
        </w:tc>
      </w:tr>
      <w:tr w:rsidR="003624CB" w14:paraId="77B8AE1D" w14:textId="77777777" w:rsidTr="004F7040">
        <w:tc>
          <w:tcPr>
            <w:cnfStyle w:val="001000000000" w:firstRow="0" w:lastRow="0" w:firstColumn="1" w:lastColumn="0" w:oddVBand="0" w:evenVBand="0" w:oddHBand="0" w:evenHBand="0" w:firstRowFirstColumn="0" w:firstRowLastColumn="0" w:lastRowFirstColumn="0" w:lastRowLastColumn="0"/>
            <w:tcW w:w="1140" w:type="pct"/>
            <w:tcBorders>
              <w:left w:val="single" w:sz="4" w:space="0" w:color="B4D012"/>
              <w:right w:val="single" w:sz="4" w:space="0" w:color="B4D012"/>
            </w:tcBorders>
            <w:shd w:val="clear" w:color="auto" w:fill="FFFFFF" w:themeFill="background1"/>
          </w:tcPr>
          <w:p w14:paraId="10B6FF6A" w14:textId="77777777" w:rsidR="003624CB" w:rsidRPr="002C23AF" w:rsidRDefault="003624CB" w:rsidP="003624CB">
            <w:pPr>
              <w:pStyle w:val="BodyText"/>
              <w:ind w:right="-28"/>
              <w:rPr>
                <w:b w:val="0"/>
                <w:color w:val="000000" w:themeColor="text1"/>
              </w:rPr>
            </w:pPr>
            <w:r w:rsidRPr="002C23AF">
              <w:rPr>
                <w:b w:val="0"/>
                <w:color w:val="000000" w:themeColor="text1"/>
              </w:rPr>
              <w:t>Percentage of national cycling tourist routes completed</w:t>
            </w:r>
          </w:p>
        </w:tc>
        <w:tc>
          <w:tcPr>
            <w:tcW w:w="773" w:type="pct"/>
            <w:tcBorders>
              <w:left w:val="single" w:sz="4" w:space="0" w:color="B4D012"/>
              <w:right w:val="single" w:sz="4" w:space="0" w:color="B4D012"/>
            </w:tcBorders>
            <w:shd w:val="clear" w:color="auto" w:fill="FFFFFF" w:themeFill="background1"/>
          </w:tcPr>
          <w:p w14:paraId="577152C2" w14:textId="77777777" w:rsidR="003624CB" w:rsidRPr="00964100" w:rsidRDefault="003624CB" w:rsidP="003624CB">
            <w:pPr>
              <w:jc w:val="center"/>
              <w:cnfStyle w:val="000000000000" w:firstRow="0" w:lastRow="0" w:firstColumn="0" w:lastColumn="0" w:oddVBand="0" w:evenVBand="0" w:oddHBand="0" w:evenHBand="0" w:firstRowFirstColumn="0" w:firstRowLastColumn="0" w:lastRowFirstColumn="0" w:lastRowLastColumn="0"/>
            </w:pPr>
            <w:r w:rsidRPr="00964100">
              <w:t>-</w:t>
            </w:r>
          </w:p>
        </w:tc>
        <w:tc>
          <w:tcPr>
            <w:tcW w:w="773" w:type="pct"/>
            <w:tcBorders>
              <w:left w:val="single" w:sz="4" w:space="0" w:color="B4D012"/>
              <w:right w:val="single" w:sz="4" w:space="0" w:color="B4D012"/>
            </w:tcBorders>
            <w:shd w:val="clear" w:color="auto" w:fill="FFFFFF" w:themeFill="background1"/>
          </w:tcPr>
          <w:p w14:paraId="3180C0BB" w14:textId="77777777" w:rsidR="003624CB" w:rsidRPr="00964100" w:rsidRDefault="003624CB" w:rsidP="003624CB">
            <w:pPr>
              <w:jc w:val="center"/>
              <w:cnfStyle w:val="000000000000" w:firstRow="0" w:lastRow="0" w:firstColumn="0" w:lastColumn="0" w:oddVBand="0" w:evenVBand="0" w:oddHBand="0" w:evenHBand="0" w:firstRowFirstColumn="0" w:firstRowLastColumn="0" w:lastRowFirstColumn="0" w:lastRowLastColumn="0"/>
            </w:pPr>
            <w:r w:rsidRPr="00964100">
              <w:t>-</w:t>
            </w:r>
          </w:p>
        </w:tc>
        <w:tc>
          <w:tcPr>
            <w:tcW w:w="773" w:type="pct"/>
            <w:tcBorders>
              <w:left w:val="single" w:sz="4" w:space="0" w:color="B4D012"/>
              <w:right w:val="single" w:sz="4" w:space="0" w:color="B4D012"/>
            </w:tcBorders>
            <w:shd w:val="clear" w:color="auto" w:fill="FFFFFF" w:themeFill="background1"/>
          </w:tcPr>
          <w:p w14:paraId="336EA11F" w14:textId="77777777" w:rsidR="003624CB" w:rsidRPr="00964100" w:rsidRDefault="003624CB" w:rsidP="003624CB">
            <w:pPr>
              <w:jc w:val="center"/>
              <w:cnfStyle w:val="000000000000" w:firstRow="0" w:lastRow="0" w:firstColumn="0" w:lastColumn="0" w:oddVBand="0" w:evenVBand="0" w:oddHBand="0" w:evenHBand="0" w:firstRowFirstColumn="0" w:firstRowLastColumn="0" w:lastRowFirstColumn="0" w:lastRowLastColumn="0"/>
            </w:pPr>
            <w:r w:rsidRPr="00964100">
              <w:t>-</w:t>
            </w:r>
          </w:p>
        </w:tc>
        <w:tc>
          <w:tcPr>
            <w:tcW w:w="773" w:type="pct"/>
            <w:tcBorders>
              <w:left w:val="single" w:sz="4" w:space="0" w:color="B4D012"/>
              <w:right w:val="single" w:sz="4" w:space="0" w:color="B4D012"/>
            </w:tcBorders>
            <w:shd w:val="clear" w:color="auto" w:fill="FFFFFF" w:themeFill="background1"/>
          </w:tcPr>
          <w:p w14:paraId="3627FE46" w14:textId="77777777" w:rsidR="003624CB" w:rsidRPr="00964100" w:rsidRDefault="003624CB" w:rsidP="003624CB">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NZ"/>
              </w:rPr>
            </w:pPr>
            <w:r w:rsidRPr="00964100">
              <w:t xml:space="preserve">59% </w:t>
            </w:r>
          </w:p>
        </w:tc>
        <w:tc>
          <w:tcPr>
            <w:tcW w:w="768" w:type="pct"/>
            <w:tcBorders>
              <w:left w:val="single" w:sz="4" w:space="0" w:color="B4D012"/>
              <w:right w:val="single" w:sz="4" w:space="0" w:color="B4D012"/>
            </w:tcBorders>
            <w:shd w:val="clear" w:color="auto" w:fill="FFFFFF" w:themeFill="background1"/>
          </w:tcPr>
          <w:p w14:paraId="37529F5E" w14:textId="77777777" w:rsidR="003624CB" w:rsidRPr="00964100" w:rsidRDefault="003624CB" w:rsidP="003624CB">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NZ"/>
              </w:rPr>
            </w:pPr>
            <w:r w:rsidRPr="00964100">
              <w:t xml:space="preserve">59% </w:t>
            </w:r>
          </w:p>
        </w:tc>
      </w:tr>
      <w:tr w:rsidR="003624CB" w14:paraId="5CC27850" w14:textId="77777777" w:rsidTr="004F7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0" w:type="pct"/>
            <w:tcBorders>
              <w:left w:val="single" w:sz="4" w:space="0" w:color="B4D012"/>
              <w:right w:val="single" w:sz="4" w:space="0" w:color="B4D012"/>
            </w:tcBorders>
            <w:shd w:val="clear" w:color="auto" w:fill="EDF8AA"/>
          </w:tcPr>
          <w:p w14:paraId="02FC8DFE" w14:textId="77777777" w:rsidR="003624CB" w:rsidRPr="002C23AF" w:rsidRDefault="003624CB" w:rsidP="00BC2502">
            <w:pPr>
              <w:pStyle w:val="BodyText"/>
              <w:ind w:right="-28"/>
              <w:rPr>
                <w:b w:val="0"/>
                <w:color w:val="000000" w:themeColor="text1"/>
              </w:rPr>
            </w:pPr>
            <w:r w:rsidRPr="002C23AF">
              <w:rPr>
                <w:b w:val="0"/>
                <w:color w:val="000000" w:themeColor="text1"/>
              </w:rPr>
              <w:t>Km’s of national cycling tourist routes completed</w:t>
            </w:r>
          </w:p>
        </w:tc>
        <w:tc>
          <w:tcPr>
            <w:tcW w:w="773" w:type="pct"/>
            <w:tcBorders>
              <w:left w:val="single" w:sz="4" w:space="0" w:color="B4D012"/>
              <w:right w:val="single" w:sz="4" w:space="0" w:color="B4D012"/>
            </w:tcBorders>
            <w:shd w:val="clear" w:color="auto" w:fill="EDF8AA"/>
          </w:tcPr>
          <w:p w14:paraId="2DDFFBB4" w14:textId="77777777" w:rsidR="003624CB" w:rsidRPr="00964100" w:rsidRDefault="003624CB" w:rsidP="00BC2502">
            <w:pPr>
              <w:jc w:val="center"/>
              <w:cnfStyle w:val="000000100000" w:firstRow="0" w:lastRow="0" w:firstColumn="0" w:lastColumn="0" w:oddVBand="0" w:evenVBand="0" w:oddHBand="1" w:evenHBand="0" w:firstRowFirstColumn="0" w:firstRowLastColumn="0" w:lastRowFirstColumn="0" w:lastRowLastColumn="0"/>
            </w:pPr>
            <w:r w:rsidRPr="00964100">
              <w:t>-</w:t>
            </w:r>
          </w:p>
        </w:tc>
        <w:tc>
          <w:tcPr>
            <w:tcW w:w="773" w:type="pct"/>
            <w:tcBorders>
              <w:left w:val="single" w:sz="4" w:space="0" w:color="B4D012"/>
              <w:right w:val="single" w:sz="4" w:space="0" w:color="B4D012"/>
            </w:tcBorders>
            <w:shd w:val="clear" w:color="auto" w:fill="EDF8AA"/>
          </w:tcPr>
          <w:p w14:paraId="04C7E53D" w14:textId="77777777" w:rsidR="003624CB" w:rsidRPr="00964100" w:rsidRDefault="003624CB" w:rsidP="00BC2502">
            <w:pPr>
              <w:jc w:val="center"/>
              <w:cnfStyle w:val="000000100000" w:firstRow="0" w:lastRow="0" w:firstColumn="0" w:lastColumn="0" w:oddVBand="0" w:evenVBand="0" w:oddHBand="1" w:evenHBand="0" w:firstRowFirstColumn="0" w:firstRowLastColumn="0" w:lastRowFirstColumn="0" w:lastRowLastColumn="0"/>
            </w:pPr>
            <w:r w:rsidRPr="00964100">
              <w:t>-</w:t>
            </w:r>
          </w:p>
        </w:tc>
        <w:tc>
          <w:tcPr>
            <w:tcW w:w="773" w:type="pct"/>
            <w:tcBorders>
              <w:left w:val="single" w:sz="4" w:space="0" w:color="B4D012"/>
              <w:right w:val="single" w:sz="4" w:space="0" w:color="B4D012"/>
            </w:tcBorders>
            <w:shd w:val="clear" w:color="auto" w:fill="EDF8AA"/>
          </w:tcPr>
          <w:p w14:paraId="03B20C29" w14:textId="77777777" w:rsidR="003624CB" w:rsidRPr="00964100" w:rsidRDefault="003624CB" w:rsidP="00BC2502">
            <w:pPr>
              <w:jc w:val="center"/>
              <w:cnfStyle w:val="000000100000" w:firstRow="0" w:lastRow="0" w:firstColumn="0" w:lastColumn="0" w:oddVBand="0" w:evenVBand="0" w:oddHBand="1" w:evenHBand="0" w:firstRowFirstColumn="0" w:firstRowLastColumn="0" w:lastRowFirstColumn="0" w:lastRowLastColumn="0"/>
            </w:pPr>
            <w:r w:rsidRPr="00964100">
              <w:t>-</w:t>
            </w:r>
          </w:p>
        </w:tc>
        <w:tc>
          <w:tcPr>
            <w:tcW w:w="773" w:type="pct"/>
            <w:tcBorders>
              <w:left w:val="single" w:sz="4" w:space="0" w:color="B4D012"/>
              <w:right w:val="single" w:sz="4" w:space="0" w:color="B4D012"/>
            </w:tcBorders>
            <w:shd w:val="clear" w:color="auto" w:fill="EDF8AA"/>
          </w:tcPr>
          <w:p w14:paraId="608940CF" w14:textId="77777777" w:rsidR="003624CB" w:rsidRPr="00964100" w:rsidRDefault="003624CB" w:rsidP="00BC2502">
            <w:pPr>
              <w:jc w:val="center"/>
              <w:cnfStyle w:val="000000100000" w:firstRow="0" w:lastRow="0" w:firstColumn="0" w:lastColumn="0" w:oddVBand="0" w:evenVBand="0" w:oddHBand="1" w:evenHBand="0" w:firstRowFirstColumn="0" w:firstRowLastColumn="0" w:lastRowFirstColumn="0" w:lastRowLastColumn="0"/>
            </w:pPr>
            <w:r w:rsidRPr="00964100">
              <w:t>5,450km</w:t>
            </w:r>
          </w:p>
        </w:tc>
        <w:tc>
          <w:tcPr>
            <w:tcW w:w="768" w:type="pct"/>
            <w:tcBorders>
              <w:left w:val="single" w:sz="4" w:space="0" w:color="B4D012"/>
              <w:right w:val="single" w:sz="4" w:space="0" w:color="B4D012"/>
            </w:tcBorders>
            <w:shd w:val="clear" w:color="auto" w:fill="EDF8AA"/>
          </w:tcPr>
          <w:p w14:paraId="0C881CB8" w14:textId="77777777" w:rsidR="003624CB" w:rsidRPr="00964100" w:rsidRDefault="003624CB" w:rsidP="00BC2502">
            <w:pPr>
              <w:pStyle w:val="BodyText"/>
              <w:jc w:val="center"/>
              <w:cnfStyle w:val="000000100000" w:firstRow="0" w:lastRow="0" w:firstColumn="0" w:lastColumn="0" w:oddVBand="0" w:evenVBand="0" w:oddHBand="1" w:evenHBand="0" w:firstRowFirstColumn="0" w:firstRowLastColumn="0" w:lastRowFirstColumn="0" w:lastRowLastColumn="0"/>
            </w:pPr>
            <w:r w:rsidRPr="00964100">
              <w:t>5,882km</w:t>
            </w:r>
          </w:p>
        </w:tc>
      </w:tr>
      <w:tr w:rsidR="003624CB" w14:paraId="3710E5FB" w14:textId="77777777" w:rsidTr="004F7040">
        <w:tc>
          <w:tcPr>
            <w:cnfStyle w:val="001000000000" w:firstRow="0" w:lastRow="0" w:firstColumn="1" w:lastColumn="0" w:oddVBand="0" w:evenVBand="0" w:oddHBand="0" w:evenHBand="0" w:firstRowFirstColumn="0" w:firstRowLastColumn="0" w:lastRowFirstColumn="0" w:lastRowLastColumn="0"/>
            <w:tcW w:w="1140" w:type="pct"/>
            <w:tcBorders>
              <w:left w:val="single" w:sz="4" w:space="0" w:color="B4D012"/>
              <w:right w:val="single" w:sz="4" w:space="0" w:color="B4D012"/>
            </w:tcBorders>
            <w:shd w:val="clear" w:color="auto" w:fill="FFFFFF" w:themeFill="background1"/>
          </w:tcPr>
          <w:p w14:paraId="2B8E7B1E" w14:textId="77777777" w:rsidR="003624CB" w:rsidRPr="002C23AF" w:rsidRDefault="003624CB" w:rsidP="003624CB">
            <w:pPr>
              <w:pStyle w:val="BodyText"/>
              <w:ind w:right="-28"/>
              <w:rPr>
                <w:b w:val="0"/>
                <w:color w:val="000000" w:themeColor="text1"/>
              </w:rPr>
            </w:pPr>
            <w:r w:rsidRPr="002C23AF">
              <w:rPr>
                <w:b w:val="0"/>
                <w:color w:val="000000" w:themeColor="text1"/>
              </w:rPr>
              <w:lastRenderedPageBreak/>
              <w:t xml:space="preserve">Percentage of Te Araroa at a roadside without a path </w:t>
            </w:r>
          </w:p>
        </w:tc>
        <w:tc>
          <w:tcPr>
            <w:tcW w:w="773" w:type="pct"/>
            <w:tcBorders>
              <w:left w:val="single" w:sz="4" w:space="0" w:color="B4D012"/>
              <w:right w:val="single" w:sz="4" w:space="0" w:color="B4D012"/>
            </w:tcBorders>
            <w:shd w:val="clear" w:color="auto" w:fill="FFFFFF" w:themeFill="background1"/>
            <w:vAlign w:val="center"/>
          </w:tcPr>
          <w:p w14:paraId="1415F083" w14:textId="77777777" w:rsidR="003624CB" w:rsidRPr="00964100" w:rsidRDefault="003624CB" w:rsidP="003624CB">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NZ"/>
              </w:rPr>
            </w:pPr>
            <w:r w:rsidRPr="00964100">
              <w:t>13%</w:t>
            </w:r>
          </w:p>
        </w:tc>
        <w:tc>
          <w:tcPr>
            <w:tcW w:w="773" w:type="pct"/>
            <w:tcBorders>
              <w:left w:val="single" w:sz="4" w:space="0" w:color="B4D012"/>
              <w:right w:val="single" w:sz="4" w:space="0" w:color="B4D012"/>
            </w:tcBorders>
            <w:shd w:val="clear" w:color="auto" w:fill="FFFFFF" w:themeFill="background1"/>
            <w:vAlign w:val="center"/>
          </w:tcPr>
          <w:p w14:paraId="28B8976D" w14:textId="77777777" w:rsidR="003624CB" w:rsidRPr="00964100" w:rsidRDefault="003624CB" w:rsidP="003624CB">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NZ"/>
              </w:rPr>
            </w:pPr>
            <w:r w:rsidRPr="00964100">
              <w:t>14%</w:t>
            </w:r>
          </w:p>
        </w:tc>
        <w:tc>
          <w:tcPr>
            <w:tcW w:w="773" w:type="pct"/>
            <w:tcBorders>
              <w:left w:val="single" w:sz="4" w:space="0" w:color="B4D012"/>
              <w:right w:val="single" w:sz="4" w:space="0" w:color="B4D012"/>
            </w:tcBorders>
            <w:shd w:val="clear" w:color="auto" w:fill="FFFFFF" w:themeFill="background1"/>
            <w:vAlign w:val="center"/>
          </w:tcPr>
          <w:p w14:paraId="4C95EF2A" w14:textId="77777777" w:rsidR="003624CB" w:rsidRPr="00964100" w:rsidRDefault="003624CB" w:rsidP="003624CB">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NZ"/>
              </w:rPr>
            </w:pPr>
            <w:r w:rsidRPr="00964100">
              <w:t>13%</w:t>
            </w:r>
          </w:p>
        </w:tc>
        <w:tc>
          <w:tcPr>
            <w:tcW w:w="773" w:type="pct"/>
            <w:tcBorders>
              <w:left w:val="single" w:sz="4" w:space="0" w:color="B4D012"/>
              <w:right w:val="single" w:sz="4" w:space="0" w:color="B4D012"/>
            </w:tcBorders>
            <w:shd w:val="clear" w:color="auto" w:fill="FFFFFF" w:themeFill="background1"/>
            <w:vAlign w:val="center"/>
          </w:tcPr>
          <w:p w14:paraId="2F04EB6F" w14:textId="77777777" w:rsidR="003624CB" w:rsidRPr="00964100" w:rsidRDefault="003624CB" w:rsidP="003624CB">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NZ"/>
              </w:rPr>
            </w:pPr>
            <w:r w:rsidRPr="00964100">
              <w:t>14%</w:t>
            </w:r>
          </w:p>
        </w:tc>
        <w:tc>
          <w:tcPr>
            <w:tcW w:w="768" w:type="pct"/>
            <w:tcBorders>
              <w:left w:val="single" w:sz="4" w:space="0" w:color="B4D012"/>
              <w:right w:val="single" w:sz="4" w:space="0" w:color="B4D012"/>
            </w:tcBorders>
            <w:shd w:val="clear" w:color="auto" w:fill="FFFFFF" w:themeFill="background1"/>
            <w:vAlign w:val="center"/>
          </w:tcPr>
          <w:p w14:paraId="6AC8DE9C" w14:textId="77777777" w:rsidR="003624CB" w:rsidRPr="00964100" w:rsidRDefault="003624CB" w:rsidP="003624CB">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NZ"/>
              </w:rPr>
            </w:pPr>
            <w:r w:rsidRPr="00964100">
              <w:t>13%</w:t>
            </w:r>
          </w:p>
        </w:tc>
      </w:tr>
    </w:tbl>
    <w:p w14:paraId="6200C40C" w14:textId="77777777" w:rsidR="0026603E" w:rsidRDefault="0026603E" w:rsidP="0026603E">
      <w:pPr>
        <w:pStyle w:val="Heading1"/>
        <w:ind w:left="0"/>
        <w:rPr>
          <w:rStyle w:val="Strong"/>
          <w:b/>
          <w:bCs/>
          <w:color w:val="FFC000" w:themeColor="accent4"/>
        </w:rPr>
      </w:pPr>
    </w:p>
    <w:p w14:paraId="4FADC3EB" w14:textId="5D68CA94" w:rsidR="0026603E" w:rsidRPr="004F7040" w:rsidRDefault="003E01D7" w:rsidP="0026603E">
      <w:pPr>
        <w:pStyle w:val="Heading1"/>
        <w:ind w:left="0"/>
        <w:rPr>
          <w:color w:val="B4D012"/>
        </w:rPr>
      </w:pPr>
      <w:r>
        <w:rPr>
          <w:rStyle w:val="Strong"/>
          <w:b/>
          <w:bCs/>
          <w:color w:val="B4D012"/>
        </w:rPr>
        <w:t xml:space="preserve">Active Mode Facilities  </w:t>
      </w:r>
    </w:p>
    <w:tbl>
      <w:tblPr>
        <w:tblStyle w:val="GridTable4-Accent6"/>
        <w:tblW w:w="4985" w:type="pct"/>
        <w:tblLook w:val="04A0" w:firstRow="1" w:lastRow="0" w:firstColumn="1" w:lastColumn="0" w:noHBand="0" w:noVBand="1"/>
      </w:tblPr>
      <w:tblGrid>
        <w:gridCol w:w="7698"/>
        <w:gridCol w:w="2727"/>
      </w:tblGrid>
      <w:tr w:rsidR="0026603E" w:rsidRPr="00BA0BD0" w14:paraId="1BFC684C" w14:textId="77777777" w:rsidTr="004F7040">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692" w:type="pct"/>
            <w:shd w:val="clear" w:color="auto" w:fill="B4D012"/>
          </w:tcPr>
          <w:p w14:paraId="5841F279" w14:textId="526DE61C" w:rsidR="0026603E" w:rsidRPr="005D66F0" w:rsidRDefault="0026603E" w:rsidP="00377147">
            <w:pPr>
              <w:rPr>
                <w:noProof/>
                <w:lang w:eastAsia="en-NZ"/>
              </w:rPr>
            </w:pPr>
          </w:p>
        </w:tc>
        <w:tc>
          <w:tcPr>
            <w:tcW w:w="1307" w:type="pct"/>
            <w:shd w:val="clear" w:color="auto" w:fill="B4D012"/>
          </w:tcPr>
          <w:p w14:paraId="74FFFF92" w14:textId="77777777" w:rsidR="0026603E" w:rsidRPr="00BA0BD0" w:rsidRDefault="0026603E" w:rsidP="00377147">
            <w:pPr>
              <w:keepNext/>
              <w:jc w:val="center"/>
              <w:cnfStyle w:val="100000000000" w:firstRow="1" w:lastRow="0" w:firstColumn="0" w:lastColumn="0" w:oddVBand="0" w:evenVBand="0" w:oddHBand="0" w:evenHBand="0" w:firstRowFirstColumn="0" w:firstRowLastColumn="0" w:lastRowFirstColumn="0" w:lastRowLastColumn="0"/>
              <w:rPr>
                <w:rStyle w:val="Strong"/>
                <w:b/>
              </w:rPr>
            </w:pPr>
          </w:p>
        </w:tc>
      </w:tr>
      <w:tr w:rsidR="0026603E" w:rsidRPr="00BA0BD0" w14:paraId="1EE238F6" w14:textId="77777777" w:rsidTr="004F7040">
        <w:trPr>
          <w:cnfStyle w:val="000000100000" w:firstRow="0" w:lastRow="0" w:firstColumn="0" w:lastColumn="0" w:oddVBand="0" w:evenVBand="0" w:oddHBand="1" w:evenHBand="0" w:firstRowFirstColumn="0" w:firstRowLastColumn="0" w:lastRowFirstColumn="0" w:lastRowLastColumn="0"/>
          <w:trHeight w:val="3895"/>
        </w:trPr>
        <w:tc>
          <w:tcPr>
            <w:cnfStyle w:val="001000000000" w:firstRow="0" w:lastRow="0" w:firstColumn="1" w:lastColumn="0" w:oddVBand="0" w:evenVBand="0" w:oddHBand="0" w:evenHBand="0" w:firstRowFirstColumn="0" w:firstRowLastColumn="0" w:lastRowFirstColumn="0" w:lastRowLastColumn="0"/>
            <w:tcW w:w="3692" w:type="pct"/>
            <w:shd w:val="clear" w:color="auto" w:fill="EDF8AA"/>
          </w:tcPr>
          <w:p w14:paraId="3D39E096" w14:textId="77777777" w:rsidR="0026603E" w:rsidRPr="00BA0BD0" w:rsidRDefault="0026603E" w:rsidP="00377147">
            <w:pPr>
              <w:rPr>
                <w:noProof/>
                <w:lang w:eastAsia="en-NZ"/>
              </w:rPr>
            </w:pPr>
            <w:r>
              <w:rPr>
                <w:noProof/>
                <w:lang w:eastAsia="en-NZ"/>
              </w:rPr>
              <w:drawing>
                <wp:inline distT="0" distB="0" distL="0" distR="0" wp14:anchorId="3B1504B0" wp14:editId="30619E0B">
                  <wp:extent cx="4046400" cy="2541600"/>
                  <wp:effectExtent l="0" t="0" r="11430" b="1143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c>
        <w:tc>
          <w:tcPr>
            <w:tcW w:w="1307" w:type="pct"/>
            <w:shd w:val="clear" w:color="auto" w:fill="EDF8AA"/>
          </w:tcPr>
          <w:p w14:paraId="70699E13" w14:textId="77777777" w:rsidR="0026603E" w:rsidRPr="00BA0BD0" w:rsidRDefault="0026603E" w:rsidP="00377147">
            <w:pPr>
              <w:keepNext/>
              <w:jc w:val="center"/>
              <w:cnfStyle w:val="000000100000" w:firstRow="0" w:lastRow="0" w:firstColumn="0" w:lastColumn="0" w:oddVBand="0" w:evenVBand="0" w:oddHBand="1" w:evenHBand="0" w:firstRowFirstColumn="0" w:firstRowLastColumn="0" w:lastRowFirstColumn="0" w:lastRowLastColumn="0"/>
              <w:rPr>
                <w:rStyle w:val="Strong"/>
                <w:b w:val="0"/>
              </w:rPr>
            </w:pPr>
          </w:p>
        </w:tc>
      </w:tr>
      <w:tr w:rsidR="0026603E" w:rsidRPr="00BA0BD0" w14:paraId="58FB4864" w14:textId="77777777" w:rsidTr="004F7040">
        <w:trPr>
          <w:trHeight w:val="914"/>
        </w:trPr>
        <w:tc>
          <w:tcPr>
            <w:cnfStyle w:val="001000000000" w:firstRow="0" w:lastRow="0" w:firstColumn="1" w:lastColumn="0" w:oddVBand="0" w:evenVBand="0" w:oddHBand="0" w:evenHBand="0" w:firstRowFirstColumn="0" w:firstRowLastColumn="0" w:lastRowFirstColumn="0" w:lastRowLastColumn="0"/>
            <w:tcW w:w="5000" w:type="pct"/>
            <w:gridSpan w:val="2"/>
          </w:tcPr>
          <w:p w14:paraId="67B00B28" w14:textId="77777777" w:rsidR="0026603E" w:rsidRPr="00340745" w:rsidRDefault="0026603E" w:rsidP="00377147">
            <w:pPr>
              <w:pStyle w:val="BodyText"/>
              <w:spacing w:before="120" w:after="120"/>
              <w:rPr>
                <w:rFonts w:asciiTheme="minorHAnsi" w:hAnsiTheme="minorHAnsi" w:cstheme="minorHAnsi"/>
                <w:b w:val="0"/>
                <w:bCs w:val="0"/>
                <w:sz w:val="16"/>
              </w:rPr>
            </w:pPr>
            <w:r w:rsidRPr="00340745">
              <w:rPr>
                <w:rFonts w:asciiTheme="minorHAnsi" w:hAnsiTheme="minorHAnsi" w:cstheme="minorHAnsi"/>
                <w:b w:val="0"/>
                <w:bCs w:val="0"/>
                <w:i/>
                <w:sz w:val="16"/>
              </w:rPr>
              <w:t>Data source:</w:t>
            </w:r>
            <w:r w:rsidRPr="00340745">
              <w:rPr>
                <w:rFonts w:asciiTheme="minorHAnsi" w:hAnsiTheme="minorHAnsi" w:cstheme="minorHAnsi"/>
                <w:b w:val="0"/>
                <w:bCs w:val="0"/>
                <w:sz w:val="16"/>
              </w:rPr>
              <w:t xml:space="preserve"> Waka Kotahi. </w:t>
            </w:r>
          </w:p>
          <w:p w14:paraId="67A8FCE8" w14:textId="77777777" w:rsidR="0026603E" w:rsidRPr="00B40F9F" w:rsidRDefault="0026603E" w:rsidP="00377147">
            <w:pPr>
              <w:pStyle w:val="BodyText"/>
              <w:spacing w:before="120" w:after="120"/>
              <w:rPr>
                <w:rStyle w:val="Strong"/>
                <w:b/>
                <w:color w:val="auto"/>
                <w:sz w:val="16"/>
              </w:rPr>
            </w:pPr>
            <w:r w:rsidRPr="00340745">
              <w:rPr>
                <w:rFonts w:asciiTheme="minorHAnsi" w:hAnsiTheme="minorHAnsi" w:cstheme="minorHAnsi"/>
                <w:b w:val="0"/>
                <w:bCs w:val="0"/>
                <w:sz w:val="16"/>
              </w:rPr>
              <w:t>Note: Network kilometres of walking and cycling facilities delivered is the total length of new walking and cycling facilities added to the network during the year and includes lengths of existing pathways and cycle ways where improvements were made.</w:t>
            </w:r>
          </w:p>
        </w:tc>
      </w:tr>
    </w:tbl>
    <w:p w14:paraId="1E53A9D3" w14:textId="77777777" w:rsidR="00B40F9F" w:rsidRDefault="00B40F9F" w:rsidP="00331F5E">
      <w:pPr>
        <w:pStyle w:val="Heading1"/>
        <w:ind w:left="0"/>
        <w:rPr>
          <w:b w:val="0"/>
          <w:i/>
          <w:sz w:val="22"/>
        </w:rPr>
      </w:pPr>
      <w:r w:rsidRPr="00B40F9F">
        <w:rPr>
          <w:b w:val="0"/>
          <w:i/>
          <w:noProof/>
          <w:sz w:val="22"/>
          <w:lang w:bidi="ar-SA"/>
        </w:rPr>
        <mc:AlternateContent>
          <mc:Choice Requires="wps">
            <w:drawing>
              <wp:anchor distT="45720" distB="45720" distL="114300" distR="114300" simplePos="0" relativeHeight="251672576" behindDoc="0" locked="0" layoutInCell="1" allowOverlap="1" wp14:anchorId="1CCD1EE3" wp14:editId="0426A3CA">
                <wp:simplePos x="0" y="0"/>
                <wp:positionH relativeFrom="margin">
                  <wp:align>left</wp:align>
                </wp:positionH>
                <wp:positionV relativeFrom="paragraph">
                  <wp:posOffset>158750</wp:posOffset>
                </wp:positionV>
                <wp:extent cx="6646545" cy="1404620"/>
                <wp:effectExtent l="0" t="0" r="20955" b="1460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6545" cy="1404620"/>
                        </a:xfrm>
                        <a:prstGeom prst="rect">
                          <a:avLst/>
                        </a:prstGeom>
                        <a:solidFill>
                          <a:schemeClr val="bg2">
                            <a:lumMod val="90000"/>
                          </a:schemeClr>
                        </a:solidFill>
                        <a:ln w="9525">
                          <a:solidFill>
                            <a:srgbClr val="000000"/>
                          </a:solidFill>
                          <a:miter lim="800000"/>
                          <a:headEnd/>
                          <a:tailEnd/>
                        </a:ln>
                      </wps:spPr>
                      <wps:txbx>
                        <w:txbxContent>
                          <w:p w14:paraId="0694B4C9" w14:textId="77777777" w:rsidR="00BC0FB3" w:rsidRPr="00B40F9F" w:rsidRDefault="00BC0FB3" w:rsidP="00B40F9F">
                            <w:pPr>
                              <w:pStyle w:val="Heading1"/>
                              <w:ind w:left="0"/>
                              <w:rPr>
                                <w:b w:val="0"/>
                                <w:sz w:val="16"/>
                              </w:rPr>
                            </w:pPr>
                            <w:r w:rsidRPr="00B40F9F">
                              <w:rPr>
                                <w:b w:val="0"/>
                                <w:i/>
                                <w:sz w:val="16"/>
                              </w:rPr>
                              <w:t>Data source</w:t>
                            </w:r>
                            <w:r w:rsidRPr="00B40F9F">
                              <w:rPr>
                                <w:b w:val="0"/>
                                <w:sz w:val="16"/>
                              </w:rPr>
                              <w:t>: Waka Kotahi. Investment includes funding from the NLTF, Crown funding, and, where applicable, local share. Network kilometres of walking and cycling facilities delivered is the total length of new walking and cycling facilities added to the network during the year and includes lengths of existing pathways and cycleway</w:t>
                            </w:r>
                            <w:r>
                              <w:rPr>
                                <w:b w:val="0"/>
                                <w:sz w:val="16"/>
                              </w:rPr>
                              <w:t xml:space="preserve"> where improvements were made.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CD1EE3" id="_x0000_s1029" type="#_x0000_t202" style="position:absolute;margin-left:0;margin-top:12.5pt;width:523.35pt;height:110.6pt;z-index:2516725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" fillcolor="#cfcdcd [2894]">
                <v:textbox style="mso-fit-shape-to-text:t">
                  <w:txbxContent>
                    <w:p w14:paraId="0694B4C9" w14:textId="77777777" w:rsidR="00BC0FB3" w:rsidRPr="00B40F9F" w:rsidRDefault="00BC0FB3" w:rsidP="00B40F9F">
                      <w:pPr>
                        <w:pStyle w:val="Heading1"/>
                        <w:ind w:left="0"/>
                        <w:rPr>
                          <w:b w:val="0"/>
                          <w:sz w:val="16"/>
                        </w:rPr>
                      </w:pPr>
                      <w:r w:rsidRPr="00B40F9F">
                        <w:rPr>
                          <w:b w:val="0"/>
                          <w:i/>
                          <w:sz w:val="16"/>
                        </w:rPr>
                        <w:t>Data source</w:t>
                      </w:r>
                      <w:r w:rsidRPr="00B40F9F">
                        <w:rPr>
                          <w:b w:val="0"/>
                          <w:sz w:val="16"/>
                        </w:rPr>
                        <w:t>: Waka Kotahi. Investment includes funding from the NLTF, Crown funding, and, where applicable, local share. Network kilometres of walking and cycling facilities delivered is the total length of new walking and cycling facilities added to the network during the year and includes lengths of existing pathways and cycleway</w:t>
                      </w:r>
                      <w:r>
                        <w:rPr>
                          <w:b w:val="0"/>
                          <w:sz w:val="16"/>
                        </w:rPr>
                        <w:t xml:space="preserve"> where improvements were made.</w:t>
                      </w:r>
                    </w:p>
                  </w:txbxContent>
                </v:textbox>
                <w10:wrap type="square" anchorx="margin"/>
              </v:shape>
            </w:pict>
          </mc:Fallback>
        </mc:AlternateContent>
      </w:r>
    </w:p>
    <w:p w14:paraId="0AA6BCC0" w14:textId="77777777" w:rsidR="00B40F9F" w:rsidRDefault="00B40F9F" w:rsidP="00331F5E">
      <w:pPr>
        <w:pStyle w:val="Heading1"/>
        <w:ind w:left="0"/>
        <w:rPr>
          <w:b w:val="0"/>
          <w:i/>
          <w:sz w:val="22"/>
        </w:rPr>
      </w:pPr>
    </w:p>
    <w:p w14:paraId="39A3D4F6" w14:textId="77777777" w:rsidR="004A41A7" w:rsidRDefault="004A41A7" w:rsidP="004A41A7">
      <w:pPr>
        <w:pStyle w:val="Heading1"/>
        <w:ind w:left="0"/>
        <w:rPr>
          <w:color w:val="B4D012"/>
        </w:rPr>
      </w:pPr>
      <w:r>
        <w:rPr>
          <w:color w:val="B4D012"/>
        </w:rPr>
        <w:t>Count Data</w:t>
      </w:r>
    </w:p>
    <w:p w14:paraId="5D2DB895" w14:textId="77777777" w:rsidR="00674623" w:rsidRPr="00674623" w:rsidRDefault="00674623" w:rsidP="00C20445">
      <w:pPr>
        <w:pStyle w:val="Heading1"/>
        <w:ind w:left="0"/>
        <w:rPr>
          <w:b w:val="0"/>
          <w:bCs w:val="0"/>
          <w:color w:val="000000" w:themeColor="text1"/>
          <w:sz w:val="22"/>
          <w:szCs w:val="22"/>
        </w:rPr>
      </w:pPr>
    </w:p>
    <w:tbl>
      <w:tblPr>
        <w:tblStyle w:val="TableGrid"/>
        <w:tblW w:w="5000" w:type="pct"/>
        <w:tblLook w:val="04A0" w:firstRow="1" w:lastRow="0" w:firstColumn="1" w:lastColumn="0" w:noHBand="0" w:noVBand="1"/>
      </w:tblPr>
      <w:tblGrid>
        <w:gridCol w:w="8618"/>
        <w:gridCol w:w="1838"/>
      </w:tblGrid>
      <w:tr w:rsidR="00AA41EB" w:rsidRPr="00BA0BD0" w14:paraId="3793548A" w14:textId="77777777" w:rsidTr="004F7040">
        <w:trPr>
          <w:trHeight w:val="397"/>
        </w:trPr>
        <w:tc>
          <w:tcPr>
            <w:tcW w:w="4121" w:type="pct"/>
            <w:shd w:val="clear" w:color="auto" w:fill="B4D012"/>
            <w:vAlign w:val="center"/>
          </w:tcPr>
          <w:p w14:paraId="3E0F1674" w14:textId="77777777" w:rsidR="00AA41EB" w:rsidRPr="00331F5E" w:rsidRDefault="00AA41EB" w:rsidP="00331F5E">
            <w:pPr>
              <w:pStyle w:val="BodyText"/>
              <w:rPr>
                <w:b/>
                <w:color w:val="FFFFFF" w:themeColor="background1"/>
                <w:szCs w:val="20"/>
              </w:rPr>
            </w:pPr>
            <w:r w:rsidRPr="00331F5E">
              <w:rPr>
                <w:b/>
                <w:color w:val="FFFFFF" w:themeColor="background1"/>
                <w:szCs w:val="20"/>
              </w:rPr>
              <w:t>Findings</w:t>
            </w:r>
          </w:p>
        </w:tc>
        <w:tc>
          <w:tcPr>
            <w:tcW w:w="879" w:type="pct"/>
            <w:shd w:val="clear" w:color="auto" w:fill="B4D012"/>
          </w:tcPr>
          <w:p w14:paraId="63DD3050" w14:textId="77777777" w:rsidR="00AA41EB" w:rsidRPr="00331F5E" w:rsidRDefault="00AA41EB" w:rsidP="00331F5E">
            <w:pPr>
              <w:keepNext/>
              <w:rPr>
                <w:rStyle w:val="Strong"/>
                <w:color w:val="FFFFFF" w:themeColor="background1"/>
              </w:rPr>
            </w:pPr>
          </w:p>
        </w:tc>
      </w:tr>
      <w:tr w:rsidR="00AA41EB" w:rsidRPr="00BA0BD0" w14:paraId="0004C9CF" w14:textId="77777777" w:rsidTr="004F7040">
        <w:tc>
          <w:tcPr>
            <w:tcW w:w="4121" w:type="pct"/>
            <w:shd w:val="clear" w:color="auto" w:fill="EDF8AA"/>
          </w:tcPr>
          <w:tbl>
            <w:tblPr>
              <w:tblStyle w:val="GridTable4-Accent1"/>
              <w:tblpPr w:leftFromText="180" w:rightFromText="180" w:vertAnchor="text" w:horzAnchor="margin" w:tblpY="-2170"/>
              <w:tblOverlap w:val="never"/>
              <w:tblW w:w="4964" w:type="pct"/>
              <w:tblLook w:val="04A0" w:firstRow="1" w:lastRow="0" w:firstColumn="1" w:lastColumn="0" w:noHBand="0" w:noVBand="1"/>
            </w:tblPr>
            <w:tblGrid>
              <w:gridCol w:w="4166"/>
              <w:gridCol w:w="4166"/>
            </w:tblGrid>
            <w:tr w:rsidR="00AA41EB" w:rsidRPr="004A0A56" w14:paraId="18181B05" w14:textId="77777777" w:rsidTr="00331F5E">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500" w:type="pct"/>
                  <w:shd w:val="clear" w:color="auto" w:fill="B4D012"/>
                </w:tcPr>
                <w:p w14:paraId="2A1F060E" w14:textId="77777777" w:rsidR="00AA41EB" w:rsidRPr="00C75B11" w:rsidRDefault="00EE7337" w:rsidP="00BC2502">
                  <w:pPr>
                    <w:pStyle w:val="BodyText"/>
                    <w:ind w:right="-28"/>
                    <w:rPr>
                      <w:szCs w:val="20"/>
                    </w:rPr>
                  </w:pPr>
                  <w:r>
                    <w:rPr>
                      <w:szCs w:val="20"/>
                    </w:rPr>
                    <w:t>Walking Count</w:t>
                  </w:r>
                </w:p>
              </w:tc>
              <w:tc>
                <w:tcPr>
                  <w:tcW w:w="2500" w:type="pct"/>
                  <w:shd w:val="clear" w:color="auto" w:fill="B4D012"/>
                </w:tcPr>
                <w:p w14:paraId="03380B5A" w14:textId="77777777" w:rsidR="00AA41EB" w:rsidRPr="00C75B11" w:rsidRDefault="00AA41EB" w:rsidP="00BC2502">
                  <w:pPr>
                    <w:pStyle w:val="BodyText"/>
                    <w:ind w:right="-28"/>
                    <w:jc w:val="center"/>
                    <w:cnfStyle w:val="100000000000" w:firstRow="1" w:lastRow="0" w:firstColumn="0" w:lastColumn="0" w:oddVBand="0" w:evenVBand="0" w:oddHBand="0" w:evenHBand="0" w:firstRowFirstColumn="0" w:firstRowLastColumn="0" w:lastRowFirstColumn="0" w:lastRowLastColumn="0"/>
                    <w:rPr>
                      <w:szCs w:val="20"/>
                    </w:rPr>
                  </w:pPr>
                  <w:r w:rsidRPr="00C75B11">
                    <w:rPr>
                      <w:szCs w:val="20"/>
                    </w:rPr>
                    <w:t>2019/20</w:t>
                  </w:r>
                </w:p>
              </w:tc>
            </w:tr>
            <w:tr w:rsidR="00AA41EB" w:rsidRPr="004A0A56" w14:paraId="3106B94A" w14:textId="77777777" w:rsidTr="00AA41EB">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tcPr>
                <w:p w14:paraId="6FD13F72" w14:textId="77777777" w:rsidR="00AA41EB" w:rsidRPr="00331F5E" w:rsidRDefault="00AA41EB" w:rsidP="00BC2502">
                  <w:pPr>
                    <w:pStyle w:val="BodyText"/>
                    <w:ind w:right="-28"/>
                    <w:rPr>
                      <w:b w:val="0"/>
                      <w:szCs w:val="20"/>
                    </w:rPr>
                  </w:pPr>
                  <w:r w:rsidRPr="00331F5E">
                    <w:rPr>
                      <w:b w:val="0"/>
                      <w:szCs w:val="20"/>
                    </w:rPr>
                    <w:t>Total:</w:t>
                  </w:r>
                </w:p>
              </w:tc>
              <w:tc>
                <w:tcPr>
                  <w:tcW w:w="2500" w:type="pct"/>
                  <w:shd w:val="clear" w:color="auto" w:fill="FFFFFF" w:themeFill="background1"/>
                </w:tcPr>
                <w:p w14:paraId="497BE4D6" w14:textId="77777777" w:rsidR="00AA41EB" w:rsidRPr="00C75B11" w:rsidRDefault="00AA41EB" w:rsidP="00BC2502">
                  <w:pPr>
                    <w:pStyle w:val="BodyText"/>
                    <w:ind w:right="-28"/>
                    <w:jc w:val="center"/>
                    <w:cnfStyle w:val="000000100000" w:firstRow="0" w:lastRow="0" w:firstColumn="0" w:lastColumn="0" w:oddVBand="0" w:evenVBand="0" w:oddHBand="1" w:evenHBand="0" w:firstRowFirstColumn="0" w:firstRowLastColumn="0" w:lastRowFirstColumn="0" w:lastRowLastColumn="0"/>
                    <w:rPr>
                      <w:szCs w:val="20"/>
                    </w:rPr>
                  </w:pPr>
                  <w:r w:rsidRPr="00C75B11">
                    <w:rPr>
                      <w:szCs w:val="20"/>
                    </w:rPr>
                    <w:t>3,539,247</w:t>
                  </w:r>
                </w:p>
              </w:tc>
            </w:tr>
          </w:tbl>
          <w:p w14:paraId="69FF13A9" w14:textId="77777777" w:rsidR="00AA41EB" w:rsidRDefault="00AA41EB" w:rsidP="00BC2502">
            <w:pPr>
              <w:keepNext/>
              <w:rPr>
                <w:noProof/>
                <w:lang w:eastAsia="en-NZ"/>
              </w:rPr>
            </w:pPr>
            <w:r>
              <w:rPr>
                <w:noProof/>
                <w:lang w:eastAsia="en-NZ"/>
              </w:rPr>
              <w:drawing>
                <wp:inline distT="0" distB="0" distL="0" distR="0" wp14:anchorId="59662E22" wp14:editId="4004BF92">
                  <wp:extent cx="5300234" cy="2354580"/>
                  <wp:effectExtent l="0" t="0" r="15240" b="7620"/>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c>
        <w:tc>
          <w:tcPr>
            <w:tcW w:w="879" w:type="pct"/>
            <w:shd w:val="clear" w:color="auto" w:fill="EDF8AA"/>
            <w:vAlign w:val="center"/>
          </w:tcPr>
          <w:p w14:paraId="79A23B0B" w14:textId="7BC56AC7" w:rsidR="00AA41EB" w:rsidRPr="00331F5E" w:rsidRDefault="00AA41EB" w:rsidP="00BC2502">
            <w:pPr>
              <w:keepNext/>
              <w:jc w:val="center"/>
              <w:rPr>
                <w:rStyle w:val="Strong"/>
                <w:b w:val="0"/>
              </w:rPr>
            </w:pPr>
            <w:r w:rsidRPr="00331F5E">
              <w:rPr>
                <w:rStyle w:val="Strong"/>
                <w:b w:val="0"/>
              </w:rPr>
              <w:t xml:space="preserve">This is a new </w:t>
            </w:r>
            <w:r w:rsidR="00377147" w:rsidRPr="00331F5E">
              <w:rPr>
                <w:rStyle w:val="Strong"/>
                <w:b w:val="0"/>
              </w:rPr>
              <w:t>indicator,</w:t>
            </w:r>
            <w:r>
              <w:rPr>
                <w:rStyle w:val="Strong"/>
                <w:b w:val="0"/>
              </w:rPr>
              <w:t xml:space="preserve"> so trend data is not yet available</w:t>
            </w:r>
            <w:r w:rsidRPr="00331F5E">
              <w:rPr>
                <w:rStyle w:val="Strong"/>
                <w:b w:val="0"/>
              </w:rPr>
              <w:t>.</w:t>
            </w:r>
          </w:p>
          <w:p w14:paraId="5FC0107A" w14:textId="77777777" w:rsidR="00AA41EB" w:rsidRPr="00331F5E" w:rsidRDefault="00AA41EB" w:rsidP="00BC2502">
            <w:pPr>
              <w:keepNext/>
              <w:jc w:val="center"/>
              <w:rPr>
                <w:rStyle w:val="Strong"/>
                <w:b w:val="0"/>
              </w:rPr>
            </w:pPr>
          </w:p>
          <w:p w14:paraId="6644FF58" w14:textId="77777777" w:rsidR="00AA41EB" w:rsidRPr="00331F5E" w:rsidRDefault="00AA41EB" w:rsidP="00BC2502">
            <w:pPr>
              <w:keepNext/>
              <w:jc w:val="center"/>
              <w:rPr>
                <w:rStyle w:val="Strong"/>
                <w:b w:val="0"/>
              </w:rPr>
            </w:pPr>
            <w:r w:rsidRPr="00331F5E">
              <w:rPr>
                <w:rStyle w:val="Strong"/>
                <w:b w:val="0"/>
              </w:rPr>
              <w:t>Wellington and Christchurch see significantly more walking trips than Auckland.</w:t>
            </w:r>
          </w:p>
        </w:tc>
      </w:tr>
      <w:tr w:rsidR="00AA41EB" w:rsidRPr="00BA0BD0" w14:paraId="7AF82216" w14:textId="77777777" w:rsidTr="004F7040">
        <w:tc>
          <w:tcPr>
            <w:tcW w:w="5000" w:type="pct"/>
            <w:gridSpan w:val="2"/>
            <w:shd w:val="clear" w:color="auto" w:fill="D0CECE" w:themeFill="background2" w:themeFillShade="E6"/>
          </w:tcPr>
          <w:p w14:paraId="52BEC0D2" w14:textId="77777777" w:rsidR="00AA41EB" w:rsidRPr="00EA7A57" w:rsidRDefault="00AA41EB" w:rsidP="00BC2502">
            <w:pPr>
              <w:pStyle w:val="BodyText"/>
              <w:spacing w:before="120" w:after="120"/>
              <w:rPr>
                <w:rStyle w:val="Strong"/>
                <w:rFonts w:asciiTheme="minorHAnsi" w:hAnsiTheme="minorHAnsi" w:cstheme="minorHAnsi"/>
                <w:b w:val="0"/>
                <w:bCs w:val="0"/>
                <w:sz w:val="16"/>
              </w:rPr>
            </w:pPr>
            <w:r w:rsidRPr="00EA7A57">
              <w:rPr>
                <w:rFonts w:asciiTheme="minorHAnsi" w:hAnsiTheme="minorHAnsi" w:cstheme="minorHAnsi"/>
                <w:i/>
                <w:sz w:val="16"/>
              </w:rPr>
              <w:t>Data source</w:t>
            </w:r>
            <w:r w:rsidRPr="00EA7A57">
              <w:rPr>
                <w:rFonts w:asciiTheme="minorHAnsi" w:hAnsiTheme="minorHAnsi" w:cstheme="minorHAnsi"/>
                <w:sz w:val="16"/>
              </w:rPr>
              <w:t xml:space="preserve">: Waka Kotahi National Bicycle and Pedestrian Count Database. Counts represent a pedestrian detected by an automated continuous counter. Five permanent count sites were selected for each city and data was aggregated to derive the total counts. Information from other count sites where data </w:t>
            </w:r>
            <w:r w:rsidRPr="00EA7A57">
              <w:rPr>
                <w:rFonts w:asciiTheme="minorHAnsi" w:hAnsiTheme="minorHAnsi" w:cstheme="minorHAnsi"/>
                <w:sz w:val="16"/>
              </w:rPr>
              <w:lastRenderedPageBreak/>
              <w:t>anomalies exist were not included in this report.</w:t>
            </w:r>
          </w:p>
        </w:tc>
      </w:tr>
      <w:tr w:rsidR="00AA41EB" w:rsidRPr="00BA0BD0" w14:paraId="77C39F34" w14:textId="77777777" w:rsidTr="004F7040">
        <w:tc>
          <w:tcPr>
            <w:tcW w:w="4121" w:type="pct"/>
            <w:shd w:val="clear" w:color="auto" w:fill="EDF8AA"/>
          </w:tcPr>
          <w:p w14:paraId="1C409FFA" w14:textId="77777777" w:rsidR="00AA41EB" w:rsidRPr="00BA0BD0" w:rsidRDefault="00AA41EB" w:rsidP="00331F5E">
            <w:pPr>
              <w:keepNext/>
            </w:pPr>
            <w:r>
              <w:rPr>
                <w:noProof/>
                <w:lang w:eastAsia="en-NZ"/>
              </w:rPr>
              <w:lastRenderedPageBreak/>
              <w:drawing>
                <wp:inline distT="0" distB="0" distL="0" distR="0" wp14:anchorId="11360920" wp14:editId="6108D63B">
                  <wp:extent cx="5278332" cy="2453005"/>
                  <wp:effectExtent l="0" t="0" r="17780" b="4445"/>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c>
        <w:tc>
          <w:tcPr>
            <w:tcW w:w="879" w:type="pct"/>
            <w:shd w:val="clear" w:color="auto" w:fill="EDF8AA"/>
            <w:vAlign w:val="center"/>
          </w:tcPr>
          <w:p w14:paraId="76460891" w14:textId="6A76B974" w:rsidR="00AA41EB" w:rsidRPr="00331F5E" w:rsidRDefault="00AA41EB" w:rsidP="00964100">
            <w:pPr>
              <w:keepNext/>
              <w:rPr>
                <w:rStyle w:val="Strong"/>
                <w:b w:val="0"/>
              </w:rPr>
            </w:pPr>
            <w:r w:rsidRPr="00331F5E">
              <w:rPr>
                <w:rStyle w:val="Strong"/>
                <w:b w:val="0"/>
              </w:rPr>
              <w:t xml:space="preserve">Across all three </w:t>
            </w:r>
            <w:r w:rsidR="00C62EBC">
              <w:rPr>
                <w:rStyle w:val="Strong"/>
                <w:b w:val="0"/>
              </w:rPr>
              <w:t>major metropolitan areas</w:t>
            </w:r>
            <w:r w:rsidR="00F91102" w:rsidRPr="00331F5E">
              <w:rPr>
                <w:rStyle w:val="Strong"/>
                <w:b w:val="0"/>
              </w:rPr>
              <w:t xml:space="preserve"> </w:t>
            </w:r>
            <w:r w:rsidRPr="00331F5E">
              <w:rPr>
                <w:rStyle w:val="Strong"/>
                <w:b w:val="0"/>
              </w:rPr>
              <w:t xml:space="preserve">there has been a 23% increase in cycle </w:t>
            </w:r>
            <w:r w:rsidR="00F91102">
              <w:rPr>
                <w:rStyle w:val="Strong"/>
                <w:b w:val="0"/>
              </w:rPr>
              <w:t>trips, from</w:t>
            </w:r>
            <w:r w:rsidR="00F91102" w:rsidRPr="00331F5E">
              <w:rPr>
                <w:rStyle w:val="Strong"/>
                <w:b w:val="0"/>
              </w:rPr>
              <w:t xml:space="preserve"> </w:t>
            </w:r>
            <w:r w:rsidRPr="00331F5E">
              <w:rPr>
                <w:rStyle w:val="Strong"/>
                <w:b w:val="0"/>
              </w:rPr>
              <w:t>5</w:t>
            </w:r>
            <w:r w:rsidR="002C5557">
              <w:rPr>
                <w:rStyle w:val="Strong"/>
                <w:b w:val="0"/>
              </w:rPr>
              <w:t>,</w:t>
            </w:r>
            <w:r w:rsidRPr="00331F5E">
              <w:rPr>
                <w:rStyle w:val="Strong"/>
                <w:b w:val="0"/>
              </w:rPr>
              <w:t>455 in 2015/16 to 6</w:t>
            </w:r>
            <w:r w:rsidR="002C5557">
              <w:rPr>
                <w:rStyle w:val="Strong"/>
                <w:b w:val="0"/>
              </w:rPr>
              <w:t>,</w:t>
            </w:r>
            <w:r w:rsidRPr="00331F5E">
              <w:rPr>
                <w:rStyle w:val="Strong"/>
                <w:b w:val="0"/>
              </w:rPr>
              <w:t>728 in 2019/20.</w:t>
            </w:r>
          </w:p>
        </w:tc>
      </w:tr>
      <w:tr w:rsidR="00AA41EB" w:rsidRPr="00BA0BD0" w14:paraId="1D1A07B6" w14:textId="77777777" w:rsidTr="004F7040">
        <w:trPr>
          <w:trHeight w:val="652"/>
        </w:trPr>
        <w:tc>
          <w:tcPr>
            <w:tcW w:w="5000" w:type="pct"/>
            <w:gridSpan w:val="2"/>
            <w:shd w:val="clear" w:color="auto" w:fill="D0CECE" w:themeFill="background2" w:themeFillShade="E6"/>
          </w:tcPr>
          <w:p w14:paraId="26BF89E6" w14:textId="5CAAC5E0" w:rsidR="00AA41EB" w:rsidRPr="00EA7A57" w:rsidRDefault="00AA41EB" w:rsidP="00331F5E">
            <w:pPr>
              <w:pStyle w:val="BodyText"/>
              <w:spacing w:before="120" w:after="120"/>
              <w:rPr>
                <w:rStyle w:val="Strong"/>
                <w:rFonts w:asciiTheme="minorHAnsi" w:hAnsiTheme="minorHAnsi" w:cstheme="minorHAnsi"/>
                <w:b w:val="0"/>
                <w:color w:val="auto"/>
                <w:sz w:val="20"/>
                <w:szCs w:val="20"/>
              </w:rPr>
            </w:pPr>
            <w:r w:rsidRPr="00EA7A57">
              <w:rPr>
                <w:rFonts w:asciiTheme="minorHAnsi" w:hAnsiTheme="minorHAnsi" w:cstheme="minorHAnsi"/>
                <w:i/>
                <w:sz w:val="16"/>
                <w:szCs w:val="20"/>
              </w:rPr>
              <w:t>Data source</w:t>
            </w:r>
            <w:r w:rsidRPr="00EA7A57">
              <w:rPr>
                <w:rFonts w:asciiTheme="minorHAnsi" w:hAnsiTheme="minorHAnsi" w:cstheme="minorHAnsi"/>
                <w:bCs/>
                <w:sz w:val="16"/>
                <w:szCs w:val="20"/>
              </w:rPr>
              <w:t>:</w:t>
            </w:r>
            <w:r w:rsidRPr="00EA7A57">
              <w:rPr>
                <w:rFonts w:asciiTheme="minorHAnsi" w:hAnsiTheme="minorHAnsi" w:cstheme="minorHAnsi"/>
                <w:b/>
                <w:bCs/>
                <w:sz w:val="16"/>
                <w:szCs w:val="20"/>
              </w:rPr>
              <w:t xml:space="preserve"> </w:t>
            </w:r>
            <w:r w:rsidRPr="00EA7A57">
              <w:rPr>
                <w:rFonts w:asciiTheme="minorHAnsi" w:hAnsiTheme="minorHAnsi" w:cstheme="minorHAnsi"/>
                <w:bCs/>
                <w:sz w:val="16"/>
                <w:szCs w:val="20"/>
              </w:rPr>
              <w:t>Reports of regional authorities provided to Waka Kotahi. Cycling count reflects the number of cyclists counted in the annual cycling cordon count in each centre.</w:t>
            </w:r>
            <w:r w:rsidR="00D8403E">
              <w:rPr>
                <w:rFonts w:asciiTheme="minorHAnsi" w:hAnsiTheme="minorHAnsi" w:cstheme="minorHAnsi"/>
                <w:bCs/>
                <w:sz w:val="16"/>
                <w:szCs w:val="20"/>
              </w:rPr>
              <w:t xml:space="preserve"> The count for Auckland was done on 11 and 12 March 2020 and is the average of the two days. Wellington count was taken on 10 March 2020 and Christchurch count was taken on 19 March 2020.</w:t>
            </w:r>
          </w:p>
        </w:tc>
      </w:tr>
    </w:tbl>
    <w:tbl>
      <w:tblPr>
        <w:tblStyle w:val="TableGrid1"/>
        <w:tblW w:w="5000" w:type="pct"/>
        <w:tblLook w:val="04A0" w:firstRow="1" w:lastRow="0" w:firstColumn="1" w:lastColumn="0" w:noHBand="0" w:noVBand="1"/>
      </w:tblPr>
      <w:tblGrid>
        <w:gridCol w:w="8643"/>
        <w:gridCol w:w="1813"/>
      </w:tblGrid>
      <w:tr w:rsidR="00AA41EB" w14:paraId="00125F63" w14:textId="77777777" w:rsidTr="00EE7337">
        <w:tc>
          <w:tcPr>
            <w:tcW w:w="4133" w:type="pct"/>
            <w:shd w:val="clear" w:color="auto" w:fill="EDF8AA"/>
          </w:tcPr>
          <w:tbl>
            <w:tblPr>
              <w:tblStyle w:val="GridTable4-Accent11"/>
              <w:tblW w:w="4952" w:type="pct"/>
              <w:tblLook w:val="04A0" w:firstRow="1" w:lastRow="0" w:firstColumn="1" w:lastColumn="0" w:noHBand="0" w:noVBand="1"/>
            </w:tblPr>
            <w:tblGrid>
              <w:gridCol w:w="4168"/>
              <w:gridCol w:w="4168"/>
            </w:tblGrid>
            <w:tr w:rsidR="00AA41EB" w:rsidRPr="00C75B11" w14:paraId="74002BD4" w14:textId="77777777" w:rsidTr="003624CB">
              <w:trPr>
                <w:cnfStyle w:val="100000000000" w:firstRow="1" w:lastRow="0" w:firstColumn="0" w:lastColumn="0" w:oddVBand="0" w:evenVBand="0" w:oddHBand="0"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2500" w:type="pct"/>
                  <w:shd w:val="clear" w:color="auto" w:fill="B4D012"/>
                </w:tcPr>
                <w:p w14:paraId="0AA68BB7" w14:textId="77777777" w:rsidR="00AA41EB" w:rsidRPr="00EE7337" w:rsidRDefault="00EE7337" w:rsidP="00BC2502">
                  <w:pPr>
                    <w:pStyle w:val="BodyText"/>
                    <w:ind w:right="-28"/>
                  </w:pPr>
                  <w:r w:rsidRPr="00EE7337">
                    <w:t>Use of cycling tourist routes</w:t>
                  </w:r>
                </w:p>
              </w:tc>
              <w:tc>
                <w:tcPr>
                  <w:tcW w:w="2500" w:type="pct"/>
                  <w:shd w:val="clear" w:color="auto" w:fill="B4D012"/>
                </w:tcPr>
                <w:p w14:paraId="324AA09B" w14:textId="77777777" w:rsidR="00AA41EB" w:rsidRPr="00C75B11" w:rsidRDefault="00AA41EB" w:rsidP="00BC2502">
                  <w:pPr>
                    <w:pStyle w:val="BodyText"/>
                    <w:ind w:right="-28"/>
                    <w:jc w:val="center"/>
                    <w:cnfStyle w:val="100000000000" w:firstRow="1" w:lastRow="0" w:firstColumn="0" w:lastColumn="0" w:oddVBand="0" w:evenVBand="0" w:oddHBand="0" w:evenHBand="0" w:firstRowFirstColumn="0" w:firstRowLastColumn="0" w:lastRowFirstColumn="0" w:lastRowLastColumn="0"/>
                  </w:pPr>
                  <w:r w:rsidRPr="00C75B11">
                    <w:t>2019/20</w:t>
                  </w:r>
                </w:p>
              </w:tc>
            </w:tr>
            <w:tr w:rsidR="00AA41EB" w:rsidRPr="00C75B11" w14:paraId="182A09B5" w14:textId="77777777" w:rsidTr="003624CB">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2500" w:type="pct"/>
                  <w:shd w:val="clear" w:color="auto" w:fill="EDF8AA"/>
                </w:tcPr>
                <w:p w14:paraId="459E55D5" w14:textId="77777777" w:rsidR="00AA41EB" w:rsidRPr="00C75B11" w:rsidRDefault="00AA41EB" w:rsidP="00BC2502">
                  <w:pPr>
                    <w:pStyle w:val="BodyText"/>
                    <w:ind w:right="-28"/>
                    <w:rPr>
                      <w:b w:val="0"/>
                    </w:rPr>
                  </w:pPr>
                </w:p>
              </w:tc>
              <w:tc>
                <w:tcPr>
                  <w:tcW w:w="2500" w:type="pct"/>
                  <w:shd w:val="clear" w:color="auto" w:fill="FFFFFF" w:themeFill="background1"/>
                </w:tcPr>
                <w:p w14:paraId="664FA2EB" w14:textId="77777777" w:rsidR="00AA41EB" w:rsidRPr="00C75B11" w:rsidRDefault="00AA41EB" w:rsidP="00BC2502">
                  <w:pPr>
                    <w:pStyle w:val="BodyText"/>
                    <w:ind w:right="-28"/>
                    <w:jc w:val="center"/>
                    <w:cnfStyle w:val="000000100000" w:firstRow="0" w:lastRow="0" w:firstColumn="0" w:lastColumn="0" w:oddVBand="0" w:evenVBand="0" w:oddHBand="1" w:evenHBand="0" w:firstRowFirstColumn="0" w:firstRowLastColumn="0" w:lastRowFirstColumn="0" w:lastRowLastColumn="0"/>
                  </w:pPr>
                  <w:r w:rsidRPr="00C75B11">
                    <w:t>515,443</w:t>
                  </w:r>
                </w:p>
              </w:tc>
            </w:tr>
          </w:tbl>
          <w:p w14:paraId="1FC333A8" w14:textId="77777777" w:rsidR="00AA41EB" w:rsidRPr="003624CB" w:rsidRDefault="00AA41EB" w:rsidP="00BC2502">
            <w:pPr>
              <w:pStyle w:val="BodyText"/>
              <w:ind w:right="-28"/>
              <w:rPr>
                <w:szCs w:val="20"/>
              </w:rPr>
            </w:pPr>
          </w:p>
          <w:p w14:paraId="1EA171C6" w14:textId="77777777" w:rsidR="00AA41EB" w:rsidRPr="003624CB" w:rsidRDefault="00AA41EB" w:rsidP="00BC2502">
            <w:pPr>
              <w:keepNext/>
              <w:rPr>
                <w:rStyle w:val="Strong"/>
                <w:b w:val="0"/>
              </w:rPr>
            </w:pPr>
            <w:r w:rsidRPr="003624CB">
              <w:rPr>
                <w:rStyle w:val="Strong"/>
                <w:b w:val="0"/>
              </w:rPr>
              <w:t xml:space="preserve">There are over 100 trial counters on the 22 New Zealand Cycle Trail Great Rides, of which 11 perform as cycle touring routes. </w:t>
            </w:r>
          </w:p>
          <w:p w14:paraId="3296862F" w14:textId="77777777" w:rsidR="00AA41EB" w:rsidRPr="00C75B11" w:rsidRDefault="00AA41EB" w:rsidP="00BC2502">
            <w:pPr>
              <w:pStyle w:val="BodyText"/>
              <w:ind w:right="-28"/>
              <w:rPr>
                <w:szCs w:val="20"/>
              </w:rPr>
            </w:pPr>
          </w:p>
        </w:tc>
        <w:tc>
          <w:tcPr>
            <w:tcW w:w="867" w:type="pct"/>
            <w:shd w:val="clear" w:color="auto" w:fill="EDF8AA"/>
            <w:vAlign w:val="center"/>
          </w:tcPr>
          <w:p w14:paraId="53A676F7" w14:textId="77777777" w:rsidR="00AA41EB" w:rsidRPr="003624CB" w:rsidRDefault="00AA41EB" w:rsidP="00964100">
            <w:pPr>
              <w:keepNext/>
              <w:rPr>
                <w:rStyle w:val="Strong"/>
                <w:b w:val="0"/>
              </w:rPr>
            </w:pPr>
            <w:r w:rsidRPr="003624CB">
              <w:rPr>
                <w:rStyle w:val="Strong"/>
                <w:b w:val="0"/>
              </w:rPr>
              <w:t>This is a new indicator</w:t>
            </w:r>
            <w:r>
              <w:rPr>
                <w:rStyle w:val="Strong"/>
                <w:b w:val="0"/>
              </w:rPr>
              <w:t xml:space="preserve"> so trends are not yet available</w:t>
            </w:r>
            <w:r w:rsidRPr="003624CB">
              <w:rPr>
                <w:rStyle w:val="Strong"/>
                <w:b w:val="0"/>
              </w:rPr>
              <w:t>.</w:t>
            </w:r>
          </w:p>
          <w:p w14:paraId="342EBCEB" w14:textId="77777777" w:rsidR="00AA41EB" w:rsidRPr="003624CB" w:rsidRDefault="00AA41EB" w:rsidP="00964100">
            <w:pPr>
              <w:keepNext/>
              <w:rPr>
                <w:rStyle w:val="Strong"/>
                <w:b w:val="0"/>
              </w:rPr>
            </w:pPr>
            <w:r w:rsidRPr="003624CB">
              <w:rPr>
                <w:rStyle w:val="Strong"/>
                <w:b w:val="0"/>
              </w:rPr>
              <w:t>In 2019/20 there were more than 500,000 counts made on these tourist routes.</w:t>
            </w:r>
          </w:p>
        </w:tc>
      </w:tr>
      <w:tr w:rsidR="00AA41EB" w14:paraId="6A82612B" w14:textId="77777777" w:rsidTr="00AD2D31">
        <w:trPr>
          <w:trHeight w:val="1245"/>
        </w:trPr>
        <w:tc>
          <w:tcPr>
            <w:tcW w:w="5000" w:type="pct"/>
            <w:gridSpan w:val="2"/>
            <w:shd w:val="clear" w:color="auto" w:fill="D0CECE" w:themeFill="background2" w:themeFillShade="E6"/>
          </w:tcPr>
          <w:p w14:paraId="5BE20E8A" w14:textId="77777777" w:rsidR="00AA41EB" w:rsidRPr="00EA7A57" w:rsidRDefault="00AA41EB" w:rsidP="00EA7A57">
            <w:pPr>
              <w:pStyle w:val="BodyText"/>
              <w:shd w:val="clear" w:color="auto" w:fill="D0CECE" w:themeFill="background2" w:themeFillShade="E6"/>
              <w:spacing w:before="120" w:after="120"/>
              <w:rPr>
                <w:rFonts w:asciiTheme="minorHAnsi" w:hAnsiTheme="minorHAnsi" w:cstheme="minorHAnsi"/>
                <w:bCs/>
                <w:sz w:val="16"/>
              </w:rPr>
            </w:pPr>
            <w:r w:rsidRPr="00EA7A57">
              <w:rPr>
                <w:rFonts w:asciiTheme="minorHAnsi" w:hAnsiTheme="minorHAnsi" w:cstheme="minorHAnsi"/>
                <w:i/>
                <w:sz w:val="16"/>
              </w:rPr>
              <w:t>Data source</w:t>
            </w:r>
            <w:r w:rsidRPr="00EA7A57">
              <w:rPr>
                <w:rFonts w:asciiTheme="minorHAnsi" w:hAnsiTheme="minorHAnsi" w:cstheme="minorHAnsi"/>
                <w:bCs/>
                <w:sz w:val="16"/>
              </w:rPr>
              <w:t xml:space="preserve">: Waka Kotahi. The Ministry of Business, Innovation and Employment (MBIE) collects data on Great Rides as part of their work on tourism. Data includes Great Rides only because Heartland Rides have no counters as these are predominantly on road. Data covers the period 1 March 2019 to 28 February 2020. ‘Cyclists’ refers to mountain bikers, bike packers, cycle tourers and any other person on a bicycle. </w:t>
            </w:r>
          </w:p>
          <w:p w14:paraId="0A54991B" w14:textId="77777777" w:rsidR="00AA41EB" w:rsidRPr="00EA7A57" w:rsidRDefault="00AA41EB" w:rsidP="00EA7A57">
            <w:pPr>
              <w:keepNext/>
              <w:shd w:val="clear" w:color="auto" w:fill="D0CECE" w:themeFill="background2" w:themeFillShade="E6"/>
              <w:tabs>
                <w:tab w:val="left" w:pos="2044"/>
              </w:tabs>
              <w:rPr>
                <w:rStyle w:val="Strong"/>
                <w:rFonts w:asciiTheme="minorHAnsi" w:hAnsiTheme="minorHAnsi" w:cstheme="minorHAnsi"/>
                <w:b w:val="0"/>
                <w:sz w:val="16"/>
              </w:rPr>
            </w:pPr>
            <w:r w:rsidRPr="00EA7A57">
              <w:rPr>
                <w:rFonts w:asciiTheme="minorHAnsi" w:hAnsiTheme="minorHAnsi" w:cstheme="minorHAnsi"/>
                <w:sz w:val="16"/>
              </w:rPr>
              <w:t xml:space="preserve">Note: </w:t>
            </w:r>
            <w:r w:rsidRPr="00EA7A57">
              <w:rPr>
                <w:rStyle w:val="Strong"/>
                <w:rFonts w:asciiTheme="minorHAnsi" w:hAnsiTheme="minorHAnsi" w:cstheme="minorHAnsi"/>
                <w:b w:val="0"/>
                <w:sz w:val="16"/>
              </w:rPr>
              <w:t>A count is measured every time a cyclist pasts the counter (in either direction). This is not necessarily 515,443 different cyclists.</w:t>
            </w:r>
          </w:p>
        </w:tc>
      </w:tr>
    </w:tbl>
    <w:p w14:paraId="26D6AFF3" w14:textId="77777777" w:rsidR="00FC3406" w:rsidRDefault="00FC3406" w:rsidP="00C20445">
      <w:pPr>
        <w:pStyle w:val="Heading1"/>
        <w:ind w:left="0"/>
        <w:rPr>
          <w:color w:val="B4D012"/>
        </w:rPr>
      </w:pPr>
    </w:p>
    <w:p w14:paraId="7582B536" w14:textId="77777777" w:rsidR="004A41A7" w:rsidRDefault="004A41A7" w:rsidP="00BC2502">
      <w:pPr>
        <w:pStyle w:val="Heading1"/>
        <w:ind w:left="0"/>
        <w:rPr>
          <w:color w:val="B4D012"/>
        </w:rPr>
      </w:pPr>
    </w:p>
    <w:p w14:paraId="326EE183" w14:textId="77777777" w:rsidR="00BC2502" w:rsidRDefault="00BC2502" w:rsidP="00BC2502">
      <w:pPr>
        <w:pStyle w:val="Heading1"/>
        <w:ind w:left="0"/>
        <w:rPr>
          <w:color w:val="B4D012"/>
        </w:rPr>
      </w:pPr>
      <w:r>
        <w:rPr>
          <w:color w:val="B4D012"/>
        </w:rPr>
        <w:t xml:space="preserve">Public transport </w:t>
      </w:r>
    </w:p>
    <w:p w14:paraId="62CE3308" w14:textId="77777777" w:rsidR="00FC3406" w:rsidRDefault="00FC3406" w:rsidP="00FC3406">
      <w:pPr>
        <w:rPr>
          <w:b/>
        </w:rPr>
      </w:pPr>
      <w:r>
        <w:rPr>
          <w:b/>
        </w:rPr>
        <w:t>Summary of results</w:t>
      </w:r>
    </w:p>
    <w:p w14:paraId="1B88AEF2" w14:textId="4412560F" w:rsidR="00023E60" w:rsidRDefault="00023E60" w:rsidP="00FC3406">
      <w:pPr>
        <w:rPr>
          <w:b/>
        </w:rPr>
      </w:pPr>
    </w:p>
    <w:p w14:paraId="65AC491C" w14:textId="02A2B776" w:rsidR="00FC3406" w:rsidRDefault="00FC3406" w:rsidP="00FC3406">
      <w:r>
        <w:t xml:space="preserve">Investment has increased across all public transport modes (including public transport, rapid transit and rail). Investment into Total Mobility has also increased from previous years (10.5% increase in 2019/20 compared to 2018/19 numbers). Despite an increase in investment, </w:t>
      </w:r>
      <w:r w:rsidR="002C5557">
        <w:t>public transport</w:t>
      </w:r>
      <w:r>
        <w:t xml:space="preserve"> boardings have declined in the most recent year (2019/20). This trend holds at both national </w:t>
      </w:r>
      <w:r w:rsidR="00AD23E7">
        <w:t xml:space="preserve">and </w:t>
      </w:r>
      <w:r>
        <w:t>regional level</w:t>
      </w:r>
      <w:r w:rsidR="00A26667">
        <w:t xml:space="preserve"> and among Super Gold card users</w:t>
      </w:r>
      <w:r>
        <w:t xml:space="preserve">. </w:t>
      </w:r>
      <w:r w:rsidR="00D8403E">
        <w:t>This is primarily due to COVID-19 travel restrictions</w:t>
      </w:r>
      <w:r w:rsidR="00F53839">
        <w:t xml:space="preserve">, particularly in quarter 4 of 2019/20. </w:t>
      </w:r>
      <w:r>
        <w:t xml:space="preserve">It must be noted, however, that prior to 2019/20, there </w:t>
      </w:r>
      <w:r w:rsidR="006C2041">
        <w:t xml:space="preserve">had </w:t>
      </w:r>
      <w:r>
        <w:t xml:space="preserve">been a gradual upturn in </w:t>
      </w:r>
      <w:r w:rsidR="002C5557">
        <w:t>public transport</w:t>
      </w:r>
      <w:r>
        <w:t xml:space="preserve"> </w:t>
      </w:r>
      <w:r w:rsidR="00F53839">
        <w:t xml:space="preserve">and SuperGold </w:t>
      </w:r>
      <w:r>
        <w:t>boarding</w:t>
      </w:r>
      <w:r w:rsidR="00F53839">
        <w:t>s</w:t>
      </w:r>
      <w:r>
        <w:t xml:space="preserve">. </w:t>
      </w:r>
    </w:p>
    <w:p w14:paraId="1D7DB727" w14:textId="75E4B5E1" w:rsidR="00FC3406" w:rsidRDefault="00FC3406" w:rsidP="00FC3406">
      <w:pPr>
        <w:rPr>
          <w:b/>
        </w:rPr>
      </w:pPr>
    </w:p>
    <w:p w14:paraId="6222786A" w14:textId="77777777" w:rsidR="009766A7" w:rsidRPr="00FC3406" w:rsidRDefault="009766A7" w:rsidP="00FC3406">
      <w:pPr>
        <w:rPr>
          <w:b/>
        </w:rPr>
      </w:pPr>
    </w:p>
    <w:p w14:paraId="50D5429E" w14:textId="77777777" w:rsidR="00C617ED" w:rsidRDefault="00C617ED" w:rsidP="00E1047E">
      <w:pPr>
        <w:pStyle w:val="Heading3"/>
        <w:spacing w:before="120" w:after="120"/>
        <w:rPr>
          <w:b/>
          <w:color w:val="B4D012"/>
        </w:rPr>
      </w:pPr>
    </w:p>
    <w:p w14:paraId="7AE80FEE" w14:textId="73B70F5C" w:rsidR="00E1047E" w:rsidRPr="00E1047E" w:rsidRDefault="00E1047E" w:rsidP="00E1047E">
      <w:pPr>
        <w:pStyle w:val="Heading3"/>
        <w:spacing w:before="120" w:after="120"/>
        <w:rPr>
          <w:b/>
          <w:color w:val="B4D012"/>
        </w:rPr>
      </w:pPr>
      <w:r w:rsidRPr="00331F5E">
        <w:rPr>
          <w:b/>
          <w:color w:val="B4D012"/>
        </w:rPr>
        <w:t xml:space="preserve">Investment </w:t>
      </w:r>
      <w:r>
        <w:rPr>
          <w:b/>
          <w:color w:val="B4D012"/>
        </w:rPr>
        <w:t>public transport</w:t>
      </w:r>
    </w:p>
    <w:tbl>
      <w:tblPr>
        <w:tblStyle w:val="GridTable4-Accent4"/>
        <w:tblW w:w="5000" w:type="pct"/>
        <w:tblLook w:val="04A0" w:firstRow="1" w:lastRow="0" w:firstColumn="1" w:lastColumn="0" w:noHBand="0" w:noVBand="1"/>
      </w:tblPr>
      <w:tblGrid>
        <w:gridCol w:w="2009"/>
        <w:gridCol w:w="2520"/>
        <w:gridCol w:w="1441"/>
        <w:gridCol w:w="1441"/>
        <w:gridCol w:w="1441"/>
        <w:gridCol w:w="1604"/>
      </w:tblGrid>
      <w:tr w:rsidR="007650DD" w14:paraId="34E9EC38" w14:textId="77777777" w:rsidTr="00C617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 w:type="pct"/>
            <w:tcBorders>
              <w:top w:val="single" w:sz="4" w:space="0" w:color="B4D012"/>
              <w:left w:val="single" w:sz="4" w:space="0" w:color="B4D012"/>
              <w:bottom w:val="single" w:sz="4" w:space="0" w:color="B4D012"/>
              <w:right w:val="single" w:sz="4" w:space="0" w:color="B4D012"/>
            </w:tcBorders>
            <w:shd w:val="clear" w:color="auto" w:fill="B4D012"/>
          </w:tcPr>
          <w:p w14:paraId="33B82994" w14:textId="77777777" w:rsidR="007650DD" w:rsidRPr="009766A7" w:rsidRDefault="007650DD" w:rsidP="008D5FE2">
            <w:pPr>
              <w:pStyle w:val="BodyText"/>
            </w:pPr>
          </w:p>
        </w:tc>
        <w:tc>
          <w:tcPr>
            <w:tcW w:w="1205" w:type="pct"/>
            <w:tcBorders>
              <w:top w:val="single" w:sz="4" w:space="0" w:color="B4D012"/>
              <w:left w:val="single" w:sz="4" w:space="0" w:color="B4D012"/>
              <w:bottom w:val="single" w:sz="4" w:space="0" w:color="B4D012"/>
              <w:right w:val="single" w:sz="4" w:space="0" w:color="B4D012"/>
            </w:tcBorders>
            <w:shd w:val="clear" w:color="auto" w:fill="B4D012"/>
          </w:tcPr>
          <w:p w14:paraId="3B1FE004" w14:textId="77777777" w:rsidR="007650DD" w:rsidRPr="009766A7" w:rsidRDefault="007650DD" w:rsidP="008D5FE2">
            <w:pPr>
              <w:pStyle w:val="BodyText"/>
              <w:jc w:val="center"/>
              <w:cnfStyle w:val="100000000000" w:firstRow="1" w:lastRow="0" w:firstColumn="0" w:lastColumn="0" w:oddVBand="0" w:evenVBand="0" w:oddHBand="0" w:evenHBand="0" w:firstRowFirstColumn="0" w:firstRowLastColumn="0" w:lastRowFirstColumn="0" w:lastRowLastColumn="0"/>
            </w:pPr>
            <w:r w:rsidRPr="009766A7">
              <w:t>2015/16</w:t>
            </w:r>
          </w:p>
        </w:tc>
        <w:tc>
          <w:tcPr>
            <w:tcW w:w="689" w:type="pct"/>
            <w:tcBorders>
              <w:top w:val="single" w:sz="4" w:space="0" w:color="B4D012"/>
              <w:left w:val="single" w:sz="4" w:space="0" w:color="B4D012"/>
              <w:bottom w:val="single" w:sz="4" w:space="0" w:color="B4D012"/>
              <w:right w:val="single" w:sz="4" w:space="0" w:color="B4D012"/>
            </w:tcBorders>
            <w:shd w:val="clear" w:color="auto" w:fill="B4D012"/>
          </w:tcPr>
          <w:p w14:paraId="50E1DDB5" w14:textId="77777777" w:rsidR="007650DD" w:rsidRPr="009766A7" w:rsidRDefault="007650DD" w:rsidP="008D5FE2">
            <w:pPr>
              <w:pStyle w:val="BodyText"/>
              <w:jc w:val="center"/>
              <w:cnfStyle w:val="100000000000" w:firstRow="1" w:lastRow="0" w:firstColumn="0" w:lastColumn="0" w:oddVBand="0" w:evenVBand="0" w:oddHBand="0" w:evenHBand="0" w:firstRowFirstColumn="0" w:firstRowLastColumn="0" w:lastRowFirstColumn="0" w:lastRowLastColumn="0"/>
            </w:pPr>
            <w:r w:rsidRPr="009766A7">
              <w:t>2016/17</w:t>
            </w:r>
          </w:p>
        </w:tc>
        <w:tc>
          <w:tcPr>
            <w:tcW w:w="689" w:type="pct"/>
            <w:tcBorders>
              <w:top w:val="single" w:sz="4" w:space="0" w:color="B4D012"/>
              <w:left w:val="single" w:sz="4" w:space="0" w:color="B4D012"/>
              <w:bottom w:val="single" w:sz="4" w:space="0" w:color="B4D012"/>
              <w:right w:val="single" w:sz="4" w:space="0" w:color="B4D012"/>
            </w:tcBorders>
            <w:shd w:val="clear" w:color="auto" w:fill="B4D012"/>
          </w:tcPr>
          <w:p w14:paraId="040343F2" w14:textId="77777777" w:rsidR="007650DD" w:rsidRPr="009766A7" w:rsidRDefault="007650DD" w:rsidP="008D5FE2">
            <w:pPr>
              <w:pStyle w:val="BodyText"/>
              <w:jc w:val="center"/>
              <w:cnfStyle w:val="100000000000" w:firstRow="1" w:lastRow="0" w:firstColumn="0" w:lastColumn="0" w:oddVBand="0" w:evenVBand="0" w:oddHBand="0" w:evenHBand="0" w:firstRowFirstColumn="0" w:firstRowLastColumn="0" w:lastRowFirstColumn="0" w:lastRowLastColumn="0"/>
            </w:pPr>
            <w:r w:rsidRPr="009766A7">
              <w:t>2017/18</w:t>
            </w:r>
          </w:p>
        </w:tc>
        <w:tc>
          <w:tcPr>
            <w:tcW w:w="689" w:type="pct"/>
            <w:tcBorders>
              <w:top w:val="single" w:sz="4" w:space="0" w:color="B4D012"/>
              <w:left w:val="single" w:sz="4" w:space="0" w:color="B4D012"/>
              <w:bottom w:val="single" w:sz="4" w:space="0" w:color="B4D012"/>
              <w:right w:val="single" w:sz="4" w:space="0" w:color="B4D012"/>
            </w:tcBorders>
            <w:shd w:val="clear" w:color="auto" w:fill="B4D012"/>
          </w:tcPr>
          <w:p w14:paraId="0C525091" w14:textId="77777777" w:rsidR="007650DD" w:rsidRPr="009766A7" w:rsidRDefault="007650DD" w:rsidP="008D5FE2">
            <w:pPr>
              <w:pStyle w:val="BodyText"/>
              <w:jc w:val="center"/>
              <w:cnfStyle w:val="100000000000" w:firstRow="1" w:lastRow="0" w:firstColumn="0" w:lastColumn="0" w:oddVBand="0" w:evenVBand="0" w:oddHBand="0" w:evenHBand="0" w:firstRowFirstColumn="0" w:firstRowLastColumn="0" w:lastRowFirstColumn="0" w:lastRowLastColumn="0"/>
            </w:pPr>
            <w:r w:rsidRPr="009766A7">
              <w:t>2018/19</w:t>
            </w:r>
          </w:p>
        </w:tc>
        <w:tc>
          <w:tcPr>
            <w:tcW w:w="767" w:type="pct"/>
            <w:tcBorders>
              <w:top w:val="single" w:sz="4" w:space="0" w:color="B4D012"/>
              <w:left w:val="single" w:sz="4" w:space="0" w:color="B4D012"/>
              <w:bottom w:val="single" w:sz="4" w:space="0" w:color="B4D012"/>
              <w:right w:val="single" w:sz="4" w:space="0" w:color="B4D012"/>
            </w:tcBorders>
            <w:shd w:val="clear" w:color="auto" w:fill="B4D012"/>
          </w:tcPr>
          <w:p w14:paraId="4CE98040" w14:textId="77777777" w:rsidR="007650DD" w:rsidRPr="009766A7" w:rsidRDefault="007650DD" w:rsidP="008D5FE2">
            <w:pPr>
              <w:pStyle w:val="BodyText"/>
              <w:jc w:val="center"/>
              <w:cnfStyle w:val="100000000000" w:firstRow="1" w:lastRow="0" w:firstColumn="0" w:lastColumn="0" w:oddVBand="0" w:evenVBand="0" w:oddHBand="0" w:evenHBand="0" w:firstRowFirstColumn="0" w:firstRowLastColumn="0" w:lastRowFirstColumn="0" w:lastRowLastColumn="0"/>
            </w:pPr>
            <w:r w:rsidRPr="009766A7">
              <w:t>2019/20</w:t>
            </w:r>
          </w:p>
        </w:tc>
      </w:tr>
      <w:tr w:rsidR="007650DD" w14:paraId="3A57EDA6" w14:textId="77777777" w:rsidTr="00C617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 w:type="pct"/>
            <w:tcBorders>
              <w:top w:val="single" w:sz="4" w:space="0" w:color="B4D012"/>
              <w:left w:val="single" w:sz="4" w:space="0" w:color="B4D012"/>
              <w:right w:val="single" w:sz="4" w:space="0" w:color="B4D012"/>
            </w:tcBorders>
            <w:shd w:val="clear" w:color="auto" w:fill="EDF8AA"/>
          </w:tcPr>
          <w:p w14:paraId="593921F5" w14:textId="77777777" w:rsidR="007650DD" w:rsidRPr="009766A7" w:rsidRDefault="007650DD" w:rsidP="007650DD">
            <w:pPr>
              <w:rPr>
                <w:rFonts w:eastAsia="Times New Roman"/>
                <w:b w:val="0"/>
                <w:color w:val="000000"/>
                <w:szCs w:val="20"/>
                <w:lang w:eastAsia="en-NZ"/>
              </w:rPr>
            </w:pPr>
            <w:r w:rsidRPr="009766A7">
              <w:rPr>
                <w:rFonts w:eastAsia="Times New Roman"/>
                <w:b w:val="0"/>
                <w:color w:val="000000"/>
                <w:szCs w:val="20"/>
                <w:lang w:eastAsia="en-NZ"/>
              </w:rPr>
              <w:t>Investment in Total Mobility</w:t>
            </w:r>
          </w:p>
        </w:tc>
        <w:tc>
          <w:tcPr>
            <w:tcW w:w="1205" w:type="pct"/>
            <w:tcBorders>
              <w:top w:val="single" w:sz="4" w:space="0" w:color="B4D012"/>
              <w:left w:val="single" w:sz="4" w:space="0" w:color="B4D012"/>
              <w:right w:val="single" w:sz="4" w:space="0" w:color="B4D012"/>
            </w:tcBorders>
            <w:shd w:val="clear" w:color="auto" w:fill="EDF8AA"/>
          </w:tcPr>
          <w:p w14:paraId="7FD88A51" w14:textId="77777777" w:rsidR="007650DD" w:rsidRPr="009766A7" w:rsidRDefault="007650DD" w:rsidP="007650DD">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0"/>
                <w:lang w:eastAsia="en-NZ"/>
              </w:rPr>
            </w:pPr>
            <w:r w:rsidRPr="009766A7">
              <w:rPr>
                <w:szCs w:val="20"/>
              </w:rPr>
              <w:t>$18,330,939</w:t>
            </w:r>
          </w:p>
        </w:tc>
        <w:tc>
          <w:tcPr>
            <w:tcW w:w="689" w:type="pct"/>
            <w:tcBorders>
              <w:top w:val="single" w:sz="4" w:space="0" w:color="B4D012"/>
              <w:left w:val="single" w:sz="4" w:space="0" w:color="B4D012"/>
              <w:right w:val="single" w:sz="4" w:space="0" w:color="B4D012"/>
            </w:tcBorders>
            <w:shd w:val="clear" w:color="auto" w:fill="EDF8AA"/>
          </w:tcPr>
          <w:p w14:paraId="313F4F38" w14:textId="77777777" w:rsidR="007650DD" w:rsidRPr="009766A7" w:rsidRDefault="007650DD" w:rsidP="007650DD">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0"/>
                <w:lang w:eastAsia="en-NZ"/>
              </w:rPr>
            </w:pPr>
            <w:r w:rsidRPr="009766A7">
              <w:rPr>
                <w:szCs w:val="20"/>
              </w:rPr>
              <w:t>$18,896,895</w:t>
            </w:r>
          </w:p>
        </w:tc>
        <w:tc>
          <w:tcPr>
            <w:tcW w:w="689" w:type="pct"/>
            <w:tcBorders>
              <w:top w:val="single" w:sz="4" w:space="0" w:color="B4D012"/>
              <w:left w:val="single" w:sz="4" w:space="0" w:color="B4D012"/>
              <w:right w:val="single" w:sz="4" w:space="0" w:color="B4D012"/>
            </w:tcBorders>
            <w:shd w:val="clear" w:color="auto" w:fill="EDF8AA"/>
          </w:tcPr>
          <w:p w14:paraId="64CEF2AE" w14:textId="77777777" w:rsidR="007650DD" w:rsidRPr="009766A7" w:rsidRDefault="007650DD" w:rsidP="007650DD">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0"/>
                <w:lang w:eastAsia="en-NZ"/>
              </w:rPr>
            </w:pPr>
            <w:r w:rsidRPr="009766A7">
              <w:rPr>
                <w:szCs w:val="20"/>
              </w:rPr>
              <w:t>$19,776,737</w:t>
            </w:r>
          </w:p>
        </w:tc>
        <w:tc>
          <w:tcPr>
            <w:tcW w:w="689" w:type="pct"/>
            <w:tcBorders>
              <w:top w:val="single" w:sz="4" w:space="0" w:color="B4D012"/>
              <w:left w:val="single" w:sz="4" w:space="0" w:color="B4D012"/>
              <w:right w:val="single" w:sz="4" w:space="0" w:color="B4D012"/>
            </w:tcBorders>
            <w:shd w:val="clear" w:color="auto" w:fill="EDF8AA"/>
          </w:tcPr>
          <w:p w14:paraId="7240E728" w14:textId="77777777" w:rsidR="007650DD" w:rsidRPr="009766A7" w:rsidRDefault="007650DD" w:rsidP="007650DD">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0"/>
                <w:lang w:eastAsia="en-NZ"/>
              </w:rPr>
            </w:pPr>
            <w:r w:rsidRPr="009766A7">
              <w:rPr>
                <w:szCs w:val="20"/>
              </w:rPr>
              <w:t>$21,589,196</w:t>
            </w:r>
          </w:p>
        </w:tc>
        <w:tc>
          <w:tcPr>
            <w:tcW w:w="767" w:type="pct"/>
            <w:tcBorders>
              <w:top w:val="single" w:sz="4" w:space="0" w:color="B4D012"/>
              <w:left w:val="single" w:sz="4" w:space="0" w:color="B4D012"/>
              <w:right w:val="single" w:sz="4" w:space="0" w:color="B4D012"/>
            </w:tcBorders>
            <w:shd w:val="clear" w:color="auto" w:fill="EDF8AA"/>
          </w:tcPr>
          <w:p w14:paraId="3EF0E397" w14:textId="77777777" w:rsidR="007650DD" w:rsidRPr="009766A7" w:rsidRDefault="007650DD" w:rsidP="007650DD">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0"/>
                <w:lang w:eastAsia="en-NZ"/>
              </w:rPr>
            </w:pPr>
            <w:r w:rsidRPr="009766A7">
              <w:rPr>
                <w:szCs w:val="20"/>
              </w:rPr>
              <w:t>$23,863,764</w:t>
            </w:r>
          </w:p>
        </w:tc>
      </w:tr>
    </w:tbl>
    <w:p w14:paraId="5A44D251" w14:textId="77777777" w:rsidR="00FC3406" w:rsidRDefault="00FC3406" w:rsidP="00FC3406">
      <w:pPr>
        <w:rPr>
          <w:rFonts w:asciiTheme="minorHAnsi" w:hAnsiTheme="minorHAnsi" w:cstheme="minorHAnsi"/>
          <w:b/>
          <w:color w:val="B4D012"/>
          <w:sz w:val="32"/>
          <w:szCs w:val="32"/>
        </w:rPr>
      </w:pPr>
    </w:p>
    <w:p w14:paraId="1D45658A" w14:textId="77777777" w:rsidR="00E1047E" w:rsidRPr="00FC3406" w:rsidRDefault="00FC3406" w:rsidP="00FC3406">
      <w:pPr>
        <w:rPr>
          <w:rFonts w:asciiTheme="minorHAnsi" w:hAnsiTheme="minorHAnsi" w:cstheme="minorHAnsi"/>
          <w:b/>
          <w:color w:val="B4D012"/>
          <w:sz w:val="32"/>
          <w:szCs w:val="32"/>
        </w:rPr>
      </w:pPr>
      <w:r>
        <w:rPr>
          <w:rFonts w:asciiTheme="minorHAnsi" w:hAnsiTheme="minorHAnsi" w:cstheme="minorHAnsi"/>
          <w:b/>
          <w:color w:val="B4D012"/>
          <w:sz w:val="32"/>
          <w:szCs w:val="32"/>
        </w:rPr>
        <w:t xml:space="preserve">Public transport data </w:t>
      </w:r>
    </w:p>
    <w:tbl>
      <w:tblPr>
        <w:tblStyle w:val="TableGrid"/>
        <w:tblpPr w:leftFromText="180" w:rightFromText="180" w:vertAnchor="text" w:horzAnchor="margin" w:tblpY="1"/>
        <w:tblW w:w="10485" w:type="dxa"/>
        <w:tblLook w:val="04A0" w:firstRow="1" w:lastRow="0" w:firstColumn="1" w:lastColumn="0" w:noHBand="0" w:noVBand="1"/>
      </w:tblPr>
      <w:tblGrid>
        <w:gridCol w:w="8500"/>
        <w:gridCol w:w="1985"/>
      </w:tblGrid>
      <w:tr w:rsidR="00EE7337" w:rsidRPr="00BA0BD0" w14:paraId="29AF51D9" w14:textId="77777777" w:rsidTr="00EE7337">
        <w:tc>
          <w:tcPr>
            <w:tcW w:w="8500" w:type="dxa"/>
            <w:shd w:val="clear" w:color="auto" w:fill="EDF8AA"/>
          </w:tcPr>
          <w:p w14:paraId="0A551922" w14:textId="77777777" w:rsidR="00EE7337" w:rsidRPr="00BA0BD0" w:rsidRDefault="00EE7337" w:rsidP="00E1047E">
            <w:r>
              <w:rPr>
                <w:noProof/>
                <w:lang w:eastAsia="en-NZ"/>
              </w:rPr>
              <w:drawing>
                <wp:inline distT="0" distB="0" distL="0" distR="0" wp14:anchorId="76D3D86E" wp14:editId="3822F42A">
                  <wp:extent cx="5223578" cy="2444115"/>
                  <wp:effectExtent l="0" t="0" r="15240" b="13335"/>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c>
        <w:tc>
          <w:tcPr>
            <w:tcW w:w="1985" w:type="dxa"/>
            <w:shd w:val="clear" w:color="auto" w:fill="EDF8AA"/>
            <w:vAlign w:val="center"/>
          </w:tcPr>
          <w:p w14:paraId="7DB1D117" w14:textId="106B0B42" w:rsidR="00EE7337" w:rsidRPr="00BA0BD0" w:rsidRDefault="00EE7337" w:rsidP="00810433">
            <w:r w:rsidRPr="00BA0BD0">
              <w:t>Access to public transport is highest in Auckland (27.4%), followed by Christchurch (21.7%) and then Wellington (14.9%)</w:t>
            </w:r>
            <w:r w:rsidR="00810433">
              <w:t xml:space="preserve">. </w:t>
            </w:r>
          </w:p>
        </w:tc>
      </w:tr>
      <w:tr w:rsidR="00EE7337" w:rsidRPr="00BA0BD0" w14:paraId="4C6E7529" w14:textId="77777777" w:rsidTr="00EE7337">
        <w:tc>
          <w:tcPr>
            <w:tcW w:w="10485" w:type="dxa"/>
            <w:gridSpan w:val="2"/>
            <w:shd w:val="clear" w:color="auto" w:fill="D0CECE" w:themeFill="background2" w:themeFillShade="E6"/>
          </w:tcPr>
          <w:p w14:paraId="45E3BA4A" w14:textId="22B8F718" w:rsidR="00EE7337" w:rsidRPr="00FC3406" w:rsidRDefault="00EE7337" w:rsidP="000771E5">
            <w:pPr>
              <w:rPr>
                <w:rFonts w:asciiTheme="minorHAnsi" w:hAnsiTheme="minorHAnsi" w:cstheme="minorHAnsi"/>
                <w:sz w:val="20"/>
              </w:rPr>
            </w:pPr>
            <w:r w:rsidRPr="00FC3406">
              <w:rPr>
                <w:rFonts w:asciiTheme="minorHAnsi" w:hAnsiTheme="minorHAnsi" w:cstheme="minorHAnsi"/>
                <w:i/>
                <w:sz w:val="16"/>
              </w:rPr>
              <w:t>Data source:</w:t>
            </w:r>
            <w:r w:rsidRPr="00FC3406">
              <w:rPr>
                <w:rFonts w:asciiTheme="minorHAnsi" w:hAnsiTheme="minorHAnsi" w:cstheme="minorHAnsi"/>
                <w:sz w:val="16"/>
              </w:rPr>
              <w:t xml:space="preserve"> Waka Kotahi. The proportion of people with access to frequent public transport services at peak times in Auckland, Wellington and Christchurch reflects the number of people that is within 500m walking distance of a frequent bus-stop or ferry terminal, or within 1km of a frequent rapid transit stop (mainly trains, but also includes grade-separated busways). This covers public transport services scheduled every 15 minutes (or 30 minutes for ferry) during the morning peak Monday to Friday (7am–9am). The overall result is the weighted average based on population across the three centres. This year, we used Statistics New Zealand population estimates rather than </w:t>
            </w:r>
            <w:r w:rsidR="00542E10" w:rsidRPr="00FC3406">
              <w:rPr>
                <w:rFonts w:asciiTheme="minorHAnsi" w:hAnsiTheme="minorHAnsi" w:cstheme="minorHAnsi"/>
                <w:sz w:val="16"/>
              </w:rPr>
              <w:t>population</w:t>
            </w:r>
            <w:r w:rsidR="00542E10">
              <w:rPr>
                <w:rFonts w:asciiTheme="minorHAnsi" w:hAnsiTheme="minorHAnsi" w:cstheme="minorHAnsi"/>
                <w:sz w:val="16"/>
              </w:rPr>
              <w:t xml:space="preserve"> </w:t>
            </w:r>
            <w:r w:rsidR="00542E10" w:rsidRPr="00FC3406">
              <w:rPr>
                <w:rFonts w:asciiTheme="minorHAnsi" w:hAnsiTheme="minorHAnsi" w:cstheme="minorHAnsi"/>
                <w:sz w:val="16"/>
              </w:rPr>
              <w:t>data</w:t>
            </w:r>
            <w:r w:rsidRPr="00FC3406">
              <w:rPr>
                <w:rFonts w:asciiTheme="minorHAnsi" w:hAnsiTheme="minorHAnsi" w:cstheme="minorHAnsi"/>
                <w:sz w:val="16"/>
              </w:rPr>
              <w:t xml:space="preserve"> from the census. We back cast the 2013 census-based results reported last year for comparability.</w:t>
            </w:r>
            <w:r w:rsidR="00542E10">
              <w:rPr>
                <w:rFonts w:asciiTheme="minorHAnsi" w:hAnsiTheme="minorHAnsi" w:cstheme="minorHAnsi"/>
                <w:sz w:val="16"/>
              </w:rPr>
              <w:t xml:space="preserve"> </w:t>
            </w:r>
            <w:r w:rsidR="000771E5">
              <w:rPr>
                <w:rFonts w:asciiTheme="minorHAnsi" w:hAnsiTheme="minorHAnsi" w:cstheme="minorHAnsi"/>
                <w:sz w:val="16"/>
              </w:rPr>
              <w:t xml:space="preserve">Back casting creates a new back series for each series so that they are methodologically and structurally consistent. </w:t>
            </w:r>
          </w:p>
        </w:tc>
      </w:tr>
      <w:tr w:rsidR="00EE7337" w:rsidRPr="00BA0BD0" w14:paraId="3FFC9C83" w14:textId="77777777" w:rsidTr="00EE7337">
        <w:tc>
          <w:tcPr>
            <w:tcW w:w="8500" w:type="dxa"/>
            <w:shd w:val="clear" w:color="auto" w:fill="EDF8AA"/>
          </w:tcPr>
          <w:p w14:paraId="44917C49" w14:textId="77777777" w:rsidR="00EE7337" w:rsidRPr="00363EBA" w:rsidRDefault="00EE7337" w:rsidP="00E1047E">
            <w:pPr>
              <w:rPr>
                <w:i/>
                <w:sz w:val="20"/>
              </w:rPr>
            </w:pPr>
            <w:r>
              <w:rPr>
                <w:noProof/>
                <w:lang w:eastAsia="en-NZ"/>
              </w:rPr>
              <w:drawing>
                <wp:inline distT="0" distB="0" distL="0" distR="0" wp14:anchorId="2FFDC102" wp14:editId="34E223B9">
                  <wp:extent cx="5207152" cy="2524125"/>
                  <wp:effectExtent l="0" t="0" r="12700" b="9525"/>
                  <wp:docPr id="65" name="Chart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c>
        <w:tc>
          <w:tcPr>
            <w:tcW w:w="1985" w:type="dxa"/>
            <w:shd w:val="clear" w:color="auto" w:fill="EDF8AA"/>
            <w:vAlign w:val="center"/>
          </w:tcPr>
          <w:p w14:paraId="1C59E6EC" w14:textId="5EA02A48" w:rsidR="00EE7337" w:rsidRPr="0048015E" w:rsidRDefault="00EE7337" w:rsidP="00D32569">
            <w:pPr>
              <w:rPr>
                <w:sz w:val="20"/>
              </w:rPr>
            </w:pPr>
            <w:r w:rsidRPr="00023E60">
              <w:t>Household spend on public transport</w:t>
            </w:r>
            <w:r w:rsidR="002C5557">
              <w:t xml:space="preserve"> (as a % of income)</w:t>
            </w:r>
            <w:r w:rsidRPr="00023E60">
              <w:t xml:space="preserve"> is highest among the lowest income groups.</w:t>
            </w:r>
          </w:p>
        </w:tc>
      </w:tr>
      <w:tr w:rsidR="00EE7337" w:rsidRPr="00BA0BD0" w14:paraId="6A1B8835" w14:textId="77777777" w:rsidTr="00EE7337">
        <w:tc>
          <w:tcPr>
            <w:tcW w:w="10485" w:type="dxa"/>
            <w:gridSpan w:val="2"/>
            <w:shd w:val="clear" w:color="auto" w:fill="D0CECE" w:themeFill="background2" w:themeFillShade="E6"/>
          </w:tcPr>
          <w:p w14:paraId="590D30F2" w14:textId="77777777" w:rsidR="00EE7337" w:rsidRPr="00FC3406" w:rsidRDefault="00EE7337" w:rsidP="00E1047E">
            <w:pPr>
              <w:rPr>
                <w:rFonts w:asciiTheme="minorHAnsi" w:hAnsiTheme="minorHAnsi" w:cstheme="minorHAnsi"/>
                <w:sz w:val="20"/>
              </w:rPr>
            </w:pPr>
            <w:r w:rsidRPr="00FC3406">
              <w:rPr>
                <w:rFonts w:asciiTheme="minorHAnsi" w:hAnsiTheme="minorHAnsi" w:cstheme="minorHAnsi"/>
                <w:i/>
                <w:noProof/>
                <w:sz w:val="16"/>
                <w:lang w:eastAsia="en-NZ"/>
              </w:rPr>
              <w:t>Data source:</w:t>
            </w:r>
            <w:r w:rsidRPr="00FC3406">
              <w:rPr>
                <w:rFonts w:asciiTheme="minorHAnsi" w:hAnsiTheme="minorHAnsi" w:cstheme="minorHAnsi"/>
                <w:noProof/>
                <w:sz w:val="16"/>
                <w:lang w:eastAsia="en-NZ"/>
              </w:rPr>
              <w:t xml:space="preserve"> Stats NZ</w:t>
            </w:r>
          </w:p>
        </w:tc>
      </w:tr>
    </w:tbl>
    <w:p w14:paraId="3D45405B" w14:textId="77777777" w:rsidR="00BC2502" w:rsidRPr="00363EBA" w:rsidRDefault="00BC2502" w:rsidP="00BC2502"/>
    <w:tbl>
      <w:tblPr>
        <w:tblStyle w:val="TableGrid"/>
        <w:tblW w:w="5000" w:type="pct"/>
        <w:tblLook w:val="04A0" w:firstRow="1" w:lastRow="0" w:firstColumn="1" w:lastColumn="0" w:noHBand="0" w:noVBand="1"/>
      </w:tblPr>
      <w:tblGrid>
        <w:gridCol w:w="8630"/>
        <w:gridCol w:w="1826"/>
      </w:tblGrid>
      <w:tr w:rsidR="00EE7337" w:rsidRPr="00BA0BD0" w14:paraId="48A15397" w14:textId="77777777" w:rsidTr="00EE7337">
        <w:tc>
          <w:tcPr>
            <w:tcW w:w="4127" w:type="pct"/>
            <w:shd w:val="clear" w:color="auto" w:fill="EDF8AA"/>
          </w:tcPr>
          <w:p w14:paraId="24C2BA80" w14:textId="77777777" w:rsidR="00EE7337" w:rsidRPr="00BA0BD0" w:rsidRDefault="00EE7337" w:rsidP="00BC2502">
            <w:pPr>
              <w:keepNext/>
              <w:rPr>
                <w:rStyle w:val="Strong"/>
                <w:b w:val="0"/>
              </w:rPr>
            </w:pPr>
            <w:r>
              <w:rPr>
                <w:noProof/>
                <w:lang w:eastAsia="en-NZ"/>
              </w:rPr>
              <w:lastRenderedPageBreak/>
              <w:drawing>
                <wp:inline distT="0" distB="0" distL="0" distR="0" wp14:anchorId="62813A4F" wp14:editId="444DDB5D">
                  <wp:extent cx="5327612" cy="2743200"/>
                  <wp:effectExtent l="0" t="0" r="6985"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5D79995D" w14:textId="77777777" w:rsidR="00EE7337" w:rsidRPr="00BA0BD0" w:rsidRDefault="00EE7337" w:rsidP="00BC2502">
            <w:pPr>
              <w:keepNext/>
              <w:rPr>
                <w:rStyle w:val="Strong"/>
                <w:b w:val="0"/>
              </w:rPr>
            </w:pPr>
          </w:p>
          <w:p w14:paraId="1CFD6EF6" w14:textId="13E10309" w:rsidR="00EE7337" w:rsidRPr="00BC2502" w:rsidRDefault="00EE7337" w:rsidP="00BC2502">
            <w:pPr>
              <w:keepNext/>
              <w:rPr>
                <w:rStyle w:val="Strong"/>
                <w:b w:val="0"/>
              </w:rPr>
            </w:pPr>
            <w:r w:rsidRPr="00BC2502">
              <w:rPr>
                <w:rStyle w:val="Strong"/>
                <w:b w:val="0"/>
              </w:rPr>
              <w:t>The majority of public transport use in New Zealand is in the three major metropolitan areas of Auckland, Wellington and Christchurch</w:t>
            </w:r>
          </w:p>
          <w:p w14:paraId="4196959B" w14:textId="77777777" w:rsidR="00EE7337" w:rsidRPr="00BC2502" w:rsidRDefault="00EE7337" w:rsidP="00BC2502">
            <w:pPr>
              <w:keepNext/>
              <w:rPr>
                <w:rStyle w:val="Strong"/>
                <w:b w:val="0"/>
              </w:rPr>
            </w:pPr>
          </w:p>
          <w:p w14:paraId="25E960EE" w14:textId="77777777" w:rsidR="00EE7337" w:rsidRPr="00BF6E10" w:rsidRDefault="00EE7337" w:rsidP="00BC2502">
            <w:pPr>
              <w:keepNext/>
              <w:rPr>
                <w:rStyle w:val="Strong"/>
                <w:b w:val="0"/>
              </w:rPr>
            </w:pPr>
          </w:p>
          <w:p w14:paraId="053855C5" w14:textId="77777777" w:rsidR="00EE7337" w:rsidRPr="00BF6E10" w:rsidRDefault="00EE7337" w:rsidP="00BC2502">
            <w:pPr>
              <w:keepNext/>
              <w:rPr>
                <w:rStyle w:val="Strong"/>
                <w:b w:val="0"/>
              </w:rPr>
            </w:pPr>
            <w:r>
              <w:rPr>
                <w:noProof/>
                <w:lang w:eastAsia="en-NZ"/>
              </w:rPr>
              <w:drawing>
                <wp:inline distT="0" distB="0" distL="0" distR="0" wp14:anchorId="2633AF42" wp14:editId="6F9117C4">
                  <wp:extent cx="5311185" cy="2743200"/>
                  <wp:effectExtent l="0" t="0" r="3810"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0A485C10" w14:textId="77777777" w:rsidR="00AB3D14" w:rsidRDefault="00AB3D14" w:rsidP="00AB3D14">
            <w:pPr>
              <w:keepNext/>
              <w:rPr>
                <w:rStyle w:val="Strong"/>
                <w:b w:val="0"/>
              </w:rPr>
            </w:pPr>
          </w:p>
          <w:p w14:paraId="75E8C129" w14:textId="5DF392AD" w:rsidR="00AB3D14" w:rsidRPr="00BC2502" w:rsidRDefault="00AB3D14" w:rsidP="00AB3D14">
            <w:pPr>
              <w:keepNext/>
              <w:rPr>
                <w:rStyle w:val="Strong"/>
                <w:b w:val="0"/>
              </w:rPr>
            </w:pPr>
            <w:r w:rsidRPr="00BC2502">
              <w:rPr>
                <w:rStyle w:val="Strong"/>
                <w:b w:val="0"/>
              </w:rPr>
              <w:t xml:space="preserve">Auckland: Have decreased from 100.7 million boardings in 2018/19 to 82,290,181 in 2019/20. </w:t>
            </w:r>
          </w:p>
          <w:p w14:paraId="5D3F08BB" w14:textId="77777777" w:rsidR="00EE7337" w:rsidRPr="00BC2502" w:rsidRDefault="00EE7337" w:rsidP="00BC2502">
            <w:pPr>
              <w:keepNext/>
              <w:rPr>
                <w:rStyle w:val="Strong"/>
                <w:b w:val="0"/>
              </w:rPr>
            </w:pPr>
          </w:p>
          <w:p w14:paraId="69CDEED9" w14:textId="77777777" w:rsidR="00AB3D14" w:rsidRDefault="00AB3D14" w:rsidP="00BC2502">
            <w:pPr>
              <w:keepNext/>
              <w:rPr>
                <w:rStyle w:val="Strong"/>
                <w:b w:val="0"/>
              </w:rPr>
            </w:pPr>
          </w:p>
          <w:p w14:paraId="464591C4" w14:textId="5B82590F" w:rsidR="00EE7337" w:rsidRDefault="00EE7337" w:rsidP="00BC2502">
            <w:pPr>
              <w:keepNext/>
              <w:rPr>
                <w:rStyle w:val="Strong"/>
                <w:b w:val="0"/>
              </w:rPr>
            </w:pPr>
            <w:r>
              <w:rPr>
                <w:noProof/>
                <w:lang w:eastAsia="en-NZ"/>
              </w:rPr>
              <w:lastRenderedPageBreak/>
              <w:drawing>
                <wp:inline distT="0" distB="0" distL="0" distR="0" wp14:anchorId="083BEB02" wp14:editId="2380F988">
                  <wp:extent cx="5267382" cy="2743200"/>
                  <wp:effectExtent l="0" t="0" r="9525"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71D34EEE" w14:textId="77777777" w:rsidR="00AB3D14" w:rsidRDefault="00AB3D14" w:rsidP="00AB3D14">
            <w:pPr>
              <w:keepNext/>
              <w:rPr>
                <w:rStyle w:val="Strong"/>
                <w:b w:val="0"/>
              </w:rPr>
            </w:pPr>
          </w:p>
          <w:p w14:paraId="5287F726" w14:textId="77777777" w:rsidR="00AB3D14" w:rsidRDefault="00AB3D14" w:rsidP="00AB3D14">
            <w:pPr>
              <w:keepNext/>
              <w:rPr>
                <w:rStyle w:val="Strong"/>
                <w:b w:val="0"/>
              </w:rPr>
            </w:pPr>
          </w:p>
          <w:p w14:paraId="45213BDB" w14:textId="77777777" w:rsidR="00AB3D14" w:rsidRPr="00BC2502" w:rsidRDefault="00AB3D14" w:rsidP="00AB3D14">
            <w:pPr>
              <w:keepNext/>
              <w:rPr>
                <w:rStyle w:val="Strong"/>
                <w:b w:val="0"/>
              </w:rPr>
            </w:pPr>
            <w:r w:rsidRPr="00BC2502">
              <w:rPr>
                <w:rStyle w:val="Strong"/>
                <w:b w:val="0"/>
              </w:rPr>
              <w:t xml:space="preserve">Wellington: Have decreased from 39.3 million in 2018/19 to 32,989,812 in 2019/20. </w:t>
            </w:r>
          </w:p>
          <w:p w14:paraId="321AC5CD" w14:textId="39522A04" w:rsidR="00EE7337" w:rsidRPr="00BF6E10" w:rsidRDefault="00EE7337" w:rsidP="00BC2502">
            <w:pPr>
              <w:keepNext/>
              <w:rPr>
                <w:rStyle w:val="Strong"/>
                <w:b w:val="0"/>
              </w:rPr>
            </w:pPr>
          </w:p>
          <w:p w14:paraId="48231FB7" w14:textId="1A588056" w:rsidR="00EE7337" w:rsidRDefault="00EE7337" w:rsidP="00BC2502">
            <w:pPr>
              <w:keepNext/>
              <w:rPr>
                <w:rStyle w:val="Strong"/>
                <w:b w:val="0"/>
              </w:rPr>
            </w:pPr>
            <w:r>
              <w:rPr>
                <w:noProof/>
                <w:lang w:eastAsia="en-NZ"/>
              </w:rPr>
              <w:drawing>
                <wp:inline distT="0" distB="0" distL="0" distR="0" wp14:anchorId="67D362FB" wp14:editId="2A5FA397">
                  <wp:extent cx="5267325" cy="2743200"/>
                  <wp:effectExtent l="0" t="0" r="9525" b="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504025DA" w14:textId="7B10C5A6" w:rsidR="00AB3D14" w:rsidRDefault="00AB3D14" w:rsidP="00BC2502">
            <w:pPr>
              <w:keepNext/>
              <w:rPr>
                <w:rStyle w:val="Strong"/>
                <w:b w:val="0"/>
              </w:rPr>
            </w:pPr>
          </w:p>
          <w:p w14:paraId="2B02F7EF" w14:textId="77777777" w:rsidR="00AB3D14" w:rsidRPr="00BF6E10" w:rsidRDefault="00AB3D14" w:rsidP="00AB3D14">
            <w:pPr>
              <w:keepNext/>
              <w:rPr>
                <w:rStyle w:val="Strong"/>
              </w:rPr>
            </w:pPr>
          </w:p>
          <w:p w14:paraId="2BEE46F2" w14:textId="756A9473" w:rsidR="00AB3D14" w:rsidRPr="00BC2502" w:rsidRDefault="00AB3D14" w:rsidP="00AB3D14">
            <w:pPr>
              <w:keepNext/>
              <w:rPr>
                <w:rStyle w:val="Strong"/>
                <w:b w:val="0"/>
              </w:rPr>
            </w:pPr>
            <w:r w:rsidRPr="00BC2502">
              <w:rPr>
                <w:rStyle w:val="Strong"/>
                <w:b w:val="0"/>
              </w:rPr>
              <w:t>C</w:t>
            </w:r>
            <w:r w:rsidR="00B258F4">
              <w:rPr>
                <w:rStyle w:val="Strong"/>
                <w:b w:val="0"/>
              </w:rPr>
              <w:t>hristchurch</w:t>
            </w:r>
            <w:r w:rsidRPr="00BC2502">
              <w:rPr>
                <w:rStyle w:val="Strong"/>
                <w:b w:val="0"/>
              </w:rPr>
              <w:t xml:space="preserve">: Have decreased from 13.9 million in 2018/19 to 11,162,229 in 2019/20.  </w:t>
            </w:r>
          </w:p>
          <w:p w14:paraId="4D7B7421" w14:textId="77777777" w:rsidR="00AB3D14" w:rsidRPr="00BF6E10" w:rsidRDefault="00AB3D14" w:rsidP="00BC2502">
            <w:pPr>
              <w:keepNext/>
              <w:rPr>
                <w:rStyle w:val="Strong"/>
                <w:b w:val="0"/>
              </w:rPr>
            </w:pPr>
          </w:p>
          <w:p w14:paraId="06848BF2" w14:textId="77777777" w:rsidR="00EE7337" w:rsidRPr="00BA0BD0" w:rsidRDefault="00EE7337" w:rsidP="00BC2502">
            <w:pPr>
              <w:keepNext/>
              <w:keepLines/>
              <w:rPr>
                <w:rStyle w:val="Strong"/>
              </w:rPr>
            </w:pPr>
          </w:p>
        </w:tc>
        <w:tc>
          <w:tcPr>
            <w:tcW w:w="873" w:type="pct"/>
            <w:shd w:val="clear" w:color="auto" w:fill="EDF8AA"/>
            <w:vAlign w:val="center"/>
          </w:tcPr>
          <w:p w14:paraId="25F97BF0" w14:textId="2781A42D" w:rsidR="00EE7337" w:rsidRDefault="00EE7337" w:rsidP="00D32569">
            <w:pPr>
              <w:keepNext/>
              <w:rPr>
                <w:rStyle w:val="Strong"/>
                <w:b w:val="0"/>
              </w:rPr>
            </w:pPr>
            <w:r>
              <w:rPr>
                <w:rStyle w:val="Strong"/>
                <w:b w:val="0"/>
              </w:rPr>
              <w:lastRenderedPageBreak/>
              <w:t xml:space="preserve">In the year of 2019/20 public transport boardings </w:t>
            </w:r>
            <w:r w:rsidRPr="00BC2502">
              <w:rPr>
                <w:rStyle w:val="Strong"/>
                <w:b w:val="0"/>
              </w:rPr>
              <w:t>decrease</w:t>
            </w:r>
            <w:r w:rsidR="00A8383D">
              <w:rPr>
                <w:rStyle w:val="Strong"/>
                <w:b w:val="0"/>
              </w:rPr>
              <w:t>d</w:t>
            </w:r>
            <w:r w:rsidRPr="00BC2502">
              <w:rPr>
                <w:rStyle w:val="Strong"/>
                <w:b w:val="0"/>
              </w:rPr>
              <w:t xml:space="preserve"> from a total of 168,330,200 in 2018/19 to 138,803,111 in 2019/20. This represents an 18% decrease.</w:t>
            </w:r>
          </w:p>
          <w:p w14:paraId="6F14626D" w14:textId="77777777" w:rsidR="00EE7337" w:rsidRDefault="00EE7337" w:rsidP="00D32569">
            <w:pPr>
              <w:keepNext/>
              <w:rPr>
                <w:rStyle w:val="Strong"/>
                <w:b w:val="0"/>
              </w:rPr>
            </w:pPr>
          </w:p>
          <w:p w14:paraId="7C10F14C" w14:textId="752D43CB" w:rsidR="00EE7337" w:rsidRPr="00BC2502" w:rsidRDefault="00EE7337" w:rsidP="00D32569">
            <w:pPr>
              <w:keepNext/>
              <w:rPr>
                <w:rStyle w:val="Strong"/>
                <w:b w:val="0"/>
              </w:rPr>
            </w:pPr>
            <w:r>
              <w:rPr>
                <w:rStyle w:val="Strong"/>
                <w:b w:val="0"/>
              </w:rPr>
              <w:t xml:space="preserve">The </w:t>
            </w:r>
            <w:r w:rsidR="00C63BBC">
              <w:rPr>
                <w:rStyle w:val="Strong"/>
                <w:b w:val="0"/>
              </w:rPr>
              <w:t>d</w:t>
            </w:r>
            <w:r w:rsidR="00C63BBC" w:rsidRPr="00C63BBC">
              <w:rPr>
                <w:rStyle w:val="Strong"/>
                <w:b w:val="0"/>
              </w:rPr>
              <w:t xml:space="preserve">ecline in </w:t>
            </w:r>
            <w:r w:rsidR="00D32569">
              <w:rPr>
                <w:rStyle w:val="Strong"/>
                <w:b w:val="0"/>
              </w:rPr>
              <w:t>boarding’s</w:t>
            </w:r>
            <w:r w:rsidR="00D32569" w:rsidRPr="00C63BBC">
              <w:rPr>
                <w:rStyle w:val="Strong"/>
                <w:b w:val="0"/>
              </w:rPr>
              <w:t xml:space="preserve"> </w:t>
            </w:r>
            <w:r w:rsidR="00C63BBC" w:rsidRPr="00C63BBC">
              <w:rPr>
                <w:rStyle w:val="Strong"/>
                <w:b w:val="0"/>
              </w:rPr>
              <w:t xml:space="preserve">is due to </w:t>
            </w:r>
            <w:r>
              <w:rPr>
                <w:rStyle w:val="Strong"/>
                <w:b w:val="0"/>
              </w:rPr>
              <w:t xml:space="preserve">COVID-19 </w:t>
            </w:r>
            <w:r w:rsidR="00C63BBC">
              <w:rPr>
                <w:rStyle w:val="Strong"/>
                <w:b w:val="0"/>
              </w:rPr>
              <w:t>t</w:t>
            </w:r>
            <w:r w:rsidR="00C63BBC" w:rsidRPr="00C63BBC">
              <w:rPr>
                <w:rStyle w:val="Strong"/>
                <w:b w:val="0"/>
              </w:rPr>
              <w:t xml:space="preserve">ravel restrictions </w:t>
            </w:r>
            <w:r>
              <w:rPr>
                <w:rStyle w:val="Strong"/>
                <w:b w:val="0"/>
              </w:rPr>
              <w:t>after a period of growth.</w:t>
            </w:r>
          </w:p>
          <w:p w14:paraId="3105DAA2" w14:textId="77777777" w:rsidR="00EE7337" w:rsidRPr="00BA0BD0" w:rsidRDefault="00EE7337" w:rsidP="00D32569"/>
        </w:tc>
      </w:tr>
      <w:tr w:rsidR="00EE7337" w:rsidRPr="00BA0BD0" w14:paraId="6A7B0080" w14:textId="77777777" w:rsidTr="00EE7337">
        <w:tc>
          <w:tcPr>
            <w:tcW w:w="4127" w:type="pct"/>
            <w:shd w:val="clear" w:color="auto" w:fill="EDF8AA"/>
          </w:tcPr>
          <w:p w14:paraId="7010A06B" w14:textId="77777777" w:rsidR="00EE7337" w:rsidRPr="00BA0BD0" w:rsidRDefault="00EE7337" w:rsidP="00BC2502">
            <w:pPr>
              <w:keepNext/>
              <w:rPr>
                <w:rStyle w:val="Strong"/>
                <w:b w:val="0"/>
              </w:rPr>
            </w:pPr>
            <w:r>
              <w:rPr>
                <w:noProof/>
                <w:lang w:eastAsia="en-NZ"/>
              </w:rPr>
              <w:lastRenderedPageBreak/>
              <w:drawing>
                <wp:inline distT="0" distB="0" distL="0" distR="0" wp14:anchorId="2DCED44D" wp14:editId="72B34A96">
                  <wp:extent cx="5256431" cy="2743200"/>
                  <wp:effectExtent l="0" t="0" r="1905" b="0"/>
                  <wp:docPr id="64" name="Chart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48E71D89" w14:textId="77777777" w:rsidR="00EE7337" w:rsidRPr="00BA0BD0" w:rsidRDefault="00EE7337" w:rsidP="00BC2502">
            <w:pPr>
              <w:keepNext/>
              <w:rPr>
                <w:rStyle w:val="Strong"/>
                <w:b w:val="0"/>
              </w:rPr>
            </w:pPr>
          </w:p>
        </w:tc>
        <w:tc>
          <w:tcPr>
            <w:tcW w:w="873" w:type="pct"/>
            <w:shd w:val="clear" w:color="auto" w:fill="EDF8AA"/>
            <w:vAlign w:val="center"/>
          </w:tcPr>
          <w:p w14:paraId="6564E390" w14:textId="1BE5DCED" w:rsidR="00EE7337" w:rsidRPr="00BA0BD0" w:rsidRDefault="00EE7337" w:rsidP="001523E2">
            <w:r w:rsidRPr="00BA0BD0">
              <w:t>There has been a 19% decrease in SuperGold boardings from 15,522,075 in 2018/19 to 12,558,809 in 2019/20.</w:t>
            </w:r>
          </w:p>
        </w:tc>
      </w:tr>
      <w:tr w:rsidR="00EE7337" w:rsidRPr="00BA0BD0" w14:paraId="20FE3D97" w14:textId="77777777" w:rsidTr="00EE7337">
        <w:tc>
          <w:tcPr>
            <w:tcW w:w="5000" w:type="pct"/>
            <w:gridSpan w:val="2"/>
            <w:shd w:val="clear" w:color="auto" w:fill="D0CECE" w:themeFill="background2" w:themeFillShade="E6"/>
          </w:tcPr>
          <w:p w14:paraId="0BCF0BA4" w14:textId="77777777" w:rsidR="00EE7337" w:rsidRPr="00A26667" w:rsidRDefault="00EE7337" w:rsidP="00BC2502">
            <w:pPr>
              <w:rPr>
                <w:rFonts w:asciiTheme="minorHAnsi" w:hAnsiTheme="minorHAnsi" w:cstheme="minorHAnsi"/>
                <w:sz w:val="20"/>
              </w:rPr>
            </w:pPr>
            <w:r w:rsidRPr="00A26667">
              <w:rPr>
                <w:rFonts w:asciiTheme="minorHAnsi" w:hAnsiTheme="minorHAnsi" w:cstheme="minorHAnsi"/>
                <w:i/>
                <w:sz w:val="16"/>
              </w:rPr>
              <w:t>Data source:</w:t>
            </w:r>
            <w:r w:rsidRPr="00A26667">
              <w:rPr>
                <w:rFonts w:asciiTheme="minorHAnsi" w:hAnsiTheme="minorHAnsi" w:cstheme="minorHAnsi"/>
                <w:sz w:val="16"/>
              </w:rPr>
              <w:t xml:space="preserve"> Reports from local and regional authorities in Transport Investment Online (TIO) which is administered by Waka Kotahi. Number of boardings on urban public transport services (bus, train and ferry) is the sum of all public transport passenger boardings by bus, train and ferry across all regions. It includes </w:t>
            </w:r>
            <w:r w:rsidR="00A76578" w:rsidRPr="00A26667">
              <w:rPr>
                <w:rFonts w:asciiTheme="minorHAnsi" w:hAnsiTheme="minorHAnsi" w:cstheme="minorHAnsi"/>
                <w:sz w:val="16"/>
              </w:rPr>
              <w:t>boarding’s</w:t>
            </w:r>
            <w:r w:rsidRPr="00A26667">
              <w:rPr>
                <w:rFonts w:asciiTheme="minorHAnsi" w:hAnsiTheme="minorHAnsi" w:cstheme="minorHAnsi"/>
                <w:sz w:val="16"/>
              </w:rPr>
              <w:t xml:space="preserve"> using SuperGold card concessions. A boarding is a single trip made on public transport, for example from when a person boards a bus to when they get off. This is different from a journey which is the entire travel from origin to destination and may include multiple trips and modes.</w:t>
            </w:r>
          </w:p>
        </w:tc>
      </w:tr>
    </w:tbl>
    <w:p w14:paraId="548D875F" w14:textId="77777777" w:rsidR="00BC2502" w:rsidRDefault="00BC2502" w:rsidP="00BC2502">
      <w:pPr>
        <w:rPr>
          <w:b/>
        </w:rPr>
      </w:pPr>
    </w:p>
    <w:p w14:paraId="548F2638" w14:textId="77777777" w:rsidR="00BC2502" w:rsidRPr="00BC2502" w:rsidRDefault="00BC2502" w:rsidP="00BC2502">
      <w:pPr>
        <w:rPr>
          <w:rFonts w:asciiTheme="minorHAnsi" w:hAnsiTheme="minorHAnsi" w:cstheme="minorHAnsi"/>
          <w:b/>
          <w:color w:val="B4D012"/>
          <w:sz w:val="32"/>
          <w:szCs w:val="32"/>
        </w:rPr>
      </w:pPr>
      <w:r>
        <w:rPr>
          <w:rFonts w:asciiTheme="minorHAnsi" w:hAnsiTheme="minorHAnsi" w:cstheme="minorHAnsi"/>
          <w:b/>
          <w:color w:val="B4D012"/>
          <w:sz w:val="32"/>
          <w:szCs w:val="32"/>
        </w:rPr>
        <w:t xml:space="preserve">Specialised services </w:t>
      </w:r>
    </w:p>
    <w:p w14:paraId="12BA22F7" w14:textId="77777777" w:rsidR="00023E60" w:rsidRPr="00023E60" w:rsidRDefault="00023E60" w:rsidP="00023E60">
      <w:pPr>
        <w:rPr>
          <w:rStyle w:val="Strong"/>
          <w:b w:val="0"/>
        </w:rPr>
      </w:pPr>
      <w:r w:rsidRPr="00023E60">
        <w:rPr>
          <w:rStyle w:val="Strong"/>
          <w:b w:val="0"/>
        </w:rPr>
        <w:t xml:space="preserve">Funded in partnership by local and central government, the </w:t>
      </w:r>
      <w:hyperlink r:id="rId46" w:history="1">
        <w:r w:rsidRPr="00023E60">
          <w:rPr>
            <w:rStyle w:val="Hyperlink"/>
            <w:b/>
          </w:rPr>
          <w:t>Total Mobility</w:t>
        </w:r>
      </w:hyperlink>
      <w:r w:rsidRPr="00023E60">
        <w:rPr>
          <w:rStyle w:val="Strong"/>
          <w:b w:val="0"/>
        </w:rPr>
        <w:t xml:space="preserve"> scheme assists eligible people with long term impairments to access appropriate transport through subsidising door-to-door transport services for those who cannot independently use regular public transport.</w:t>
      </w:r>
    </w:p>
    <w:p w14:paraId="09DC116F" w14:textId="618E6E89" w:rsidR="00023E60" w:rsidRDefault="00023E60" w:rsidP="00023E60">
      <w:pPr>
        <w:rPr>
          <w:rStyle w:val="Strong"/>
          <w:b w:val="0"/>
        </w:rPr>
      </w:pPr>
      <w:r w:rsidRPr="00023E60">
        <w:rPr>
          <w:rStyle w:val="Strong"/>
          <w:b w:val="0"/>
        </w:rPr>
        <w:t xml:space="preserve">Specialised services (e.g. the </w:t>
      </w:r>
      <w:hyperlink r:id="rId47" w:history="1">
        <w:r w:rsidRPr="00023E60">
          <w:rPr>
            <w:rStyle w:val="Hyperlink"/>
            <w:b/>
          </w:rPr>
          <w:t>Total Mobility</w:t>
        </w:r>
      </w:hyperlink>
      <w:r w:rsidRPr="00023E60">
        <w:rPr>
          <w:rStyle w:val="Strong"/>
          <w:b w:val="0"/>
        </w:rPr>
        <w:t xml:space="preserve"> scheme) provide access to the transport system for those not able to use public transport or a private vehicle. Specialised services are used more in Auckland (</w:t>
      </w:r>
      <w:r>
        <w:rPr>
          <w:rStyle w:val="Strong"/>
          <w:b w:val="0"/>
        </w:rPr>
        <w:t>408</w:t>
      </w:r>
      <w:r w:rsidR="008F34AD">
        <w:rPr>
          <w:rStyle w:val="Strong"/>
          <w:b w:val="0"/>
        </w:rPr>
        <w:t>,</w:t>
      </w:r>
      <w:r>
        <w:rPr>
          <w:rStyle w:val="Strong"/>
          <w:b w:val="0"/>
        </w:rPr>
        <w:t>329</w:t>
      </w:r>
      <w:r w:rsidRPr="00023E60">
        <w:rPr>
          <w:rStyle w:val="Strong"/>
          <w:b w:val="0"/>
        </w:rPr>
        <w:t xml:space="preserve"> in </w:t>
      </w:r>
      <w:r>
        <w:rPr>
          <w:rStyle w:val="Strong"/>
          <w:b w:val="0"/>
        </w:rPr>
        <w:t>2019/20</w:t>
      </w:r>
      <w:r w:rsidRPr="00023E60">
        <w:rPr>
          <w:rStyle w:val="Strong"/>
          <w:b w:val="0"/>
        </w:rPr>
        <w:t xml:space="preserve">), Wellington </w:t>
      </w:r>
      <w:r>
        <w:rPr>
          <w:rStyle w:val="Strong"/>
          <w:b w:val="0"/>
        </w:rPr>
        <w:t>(307</w:t>
      </w:r>
      <w:r w:rsidR="008F34AD">
        <w:rPr>
          <w:rStyle w:val="Strong"/>
          <w:b w:val="0"/>
        </w:rPr>
        <w:t>,</w:t>
      </w:r>
      <w:r>
        <w:rPr>
          <w:rStyle w:val="Strong"/>
          <w:b w:val="0"/>
        </w:rPr>
        <w:t>910 in 2019/20</w:t>
      </w:r>
      <w:r w:rsidRPr="00023E60">
        <w:rPr>
          <w:rStyle w:val="Strong"/>
          <w:b w:val="0"/>
        </w:rPr>
        <w:t>) and Christchurch/Canterbury (</w:t>
      </w:r>
      <w:r>
        <w:rPr>
          <w:rStyle w:val="Strong"/>
          <w:b w:val="0"/>
        </w:rPr>
        <w:t>267</w:t>
      </w:r>
      <w:r w:rsidR="008F34AD">
        <w:rPr>
          <w:rStyle w:val="Strong"/>
          <w:b w:val="0"/>
        </w:rPr>
        <w:t>,</w:t>
      </w:r>
      <w:r>
        <w:rPr>
          <w:rStyle w:val="Strong"/>
          <w:b w:val="0"/>
        </w:rPr>
        <w:t>114 in 2019/20</w:t>
      </w:r>
      <w:r w:rsidRPr="00023E60">
        <w:rPr>
          <w:rStyle w:val="Strong"/>
          <w:b w:val="0"/>
        </w:rPr>
        <w:t>) which reflects their high populations.</w:t>
      </w:r>
    </w:p>
    <w:p w14:paraId="30336CAA" w14:textId="388014D0" w:rsidR="001523E2" w:rsidRPr="00023E60" w:rsidRDefault="001523E2" w:rsidP="00023E60">
      <w:pPr>
        <w:rPr>
          <w:rStyle w:val="Strong"/>
          <w:b w:val="0"/>
        </w:rPr>
      </w:pPr>
      <w:r>
        <w:rPr>
          <w:noProof/>
          <w:lang w:eastAsia="en-NZ"/>
        </w:rPr>
        <w:drawing>
          <wp:inline distT="0" distB="0" distL="0" distR="0" wp14:anchorId="24AB4894" wp14:editId="465605D9">
            <wp:extent cx="6633458" cy="3677920"/>
            <wp:effectExtent l="0" t="0" r="15240" b="1778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5A958F89" w14:textId="006435DA" w:rsidR="00BC2502" w:rsidRPr="00BC2502" w:rsidRDefault="00BC2502" w:rsidP="00BC2502">
      <w:pPr>
        <w:pStyle w:val="Heading1"/>
        <w:ind w:left="0"/>
        <w:rPr>
          <w:rStyle w:val="Strong"/>
          <w:rFonts w:ascii="Arial" w:hAnsi="Arial" w:cs="Arial"/>
          <w:b/>
          <w:bCs/>
          <w:color w:val="5B9BD5" w:themeColor="accent1"/>
        </w:rPr>
      </w:pPr>
    </w:p>
    <w:p w14:paraId="36B06E29" w14:textId="77777777" w:rsidR="00BC2502" w:rsidRPr="00BA0BD0" w:rsidRDefault="00BC2502" w:rsidP="00BC2502">
      <w:pPr>
        <w:keepNext/>
        <w:spacing w:after="0"/>
        <w:rPr>
          <w:b/>
          <w:color w:val="000000" w:themeColor="text1"/>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4"/>
      </w:tblGrid>
      <w:tr w:rsidR="00BC2502" w:rsidRPr="00BA0BD0" w14:paraId="0E1306E3" w14:textId="77777777" w:rsidTr="00A26667">
        <w:trPr>
          <w:trHeight w:val="1097"/>
        </w:trPr>
        <w:tc>
          <w:tcPr>
            <w:tcW w:w="5000" w:type="pct"/>
            <w:shd w:val="clear" w:color="auto" w:fill="D0CECE" w:themeFill="background2" w:themeFillShade="E6"/>
          </w:tcPr>
          <w:p w14:paraId="297EEA3F" w14:textId="77777777" w:rsidR="00BC2502" w:rsidRPr="00A26667" w:rsidRDefault="00BC2502" w:rsidP="00A26667">
            <w:pPr>
              <w:keepNext/>
              <w:spacing w:line="240" w:lineRule="auto"/>
              <w:rPr>
                <w:rFonts w:asciiTheme="minorHAnsi" w:hAnsiTheme="minorHAnsi" w:cstheme="minorHAnsi"/>
                <w:b/>
                <w:color w:val="000000" w:themeColor="text1"/>
                <w:sz w:val="16"/>
                <w:szCs w:val="16"/>
              </w:rPr>
            </w:pPr>
            <w:r w:rsidRPr="00A26667">
              <w:rPr>
                <w:rFonts w:asciiTheme="minorHAnsi" w:hAnsiTheme="minorHAnsi" w:cstheme="minorHAnsi"/>
                <w:b/>
                <w:color w:val="000000" w:themeColor="text1"/>
                <w:sz w:val="16"/>
                <w:szCs w:val="16"/>
              </w:rPr>
              <w:t>About this indicator</w:t>
            </w:r>
          </w:p>
          <w:p w14:paraId="04ED3414" w14:textId="77777777" w:rsidR="00A26667" w:rsidRPr="00A26667" w:rsidRDefault="00BC2502" w:rsidP="00A26667">
            <w:pPr>
              <w:spacing w:line="240" w:lineRule="auto"/>
              <w:rPr>
                <w:rFonts w:asciiTheme="minorHAnsi" w:hAnsiTheme="minorHAnsi" w:cstheme="minorHAnsi"/>
                <w:sz w:val="16"/>
                <w:szCs w:val="16"/>
              </w:rPr>
            </w:pPr>
            <w:r w:rsidRPr="00A26667">
              <w:rPr>
                <w:rFonts w:asciiTheme="minorHAnsi" w:hAnsiTheme="minorHAnsi" w:cstheme="minorHAnsi"/>
                <w:sz w:val="16"/>
                <w:szCs w:val="16"/>
              </w:rPr>
              <w:t>Use of specialised s</w:t>
            </w:r>
            <w:r w:rsidR="00023E60">
              <w:rPr>
                <w:rFonts w:asciiTheme="minorHAnsi" w:hAnsiTheme="minorHAnsi" w:cstheme="minorHAnsi"/>
                <w:sz w:val="16"/>
                <w:szCs w:val="16"/>
              </w:rPr>
              <w:t>ervices by region 2015/16 - 2019/20</w:t>
            </w:r>
            <w:r w:rsidRPr="00A26667">
              <w:rPr>
                <w:rFonts w:asciiTheme="minorHAnsi" w:hAnsiTheme="minorHAnsi" w:cstheme="minorHAnsi"/>
                <w:sz w:val="16"/>
                <w:szCs w:val="16"/>
              </w:rPr>
              <w:t xml:space="preserve">. </w:t>
            </w:r>
          </w:p>
          <w:p w14:paraId="1AF397CB" w14:textId="77777777" w:rsidR="00BC2502" w:rsidRPr="00BA0BD0" w:rsidRDefault="00BC2502" w:rsidP="00A26667">
            <w:pPr>
              <w:spacing w:line="240" w:lineRule="auto"/>
              <w:rPr>
                <w:bCs/>
                <w:color w:val="000000" w:themeColor="text1"/>
              </w:rPr>
            </w:pPr>
            <w:r w:rsidRPr="00A26667">
              <w:rPr>
                <w:rFonts w:asciiTheme="minorHAnsi" w:hAnsiTheme="minorHAnsi" w:cstheme="minorHAnsi"/>
                <w:i/>
                <w:sz w:val="16"/>
                <w:szCs w:val="16"/>
              </w:rPr>
              <w:t>Data source:</w:t>
            </w:r>
            <w:r w:rsidRPr="00A26667">
              <w:rPr>
                <w:rFonts w:asciiTheme="minorHAnsi" w:hAnsiTheme="minorHAnsi" w:cstheme="minorHAnsi"/>
                <w:sz w:val="16"/>
                <w:szCs w:val="16"/>
              </w:rPr>
              <w:t xml:space="preserve"> Waka Kotahi. Refers to the number of journeys undertaken using specialised services (i.e. as part of the Total Mobility scheme).</w:t>
            </w:r>
            <w:r w:rsidRPr="00A26667">
              <w:rPr>
                <w:sz w:val="18"/>
              </w:rPr>
              <w:t xml:space="preserve"> </w:t>
            </w:r>
          </w:p>
        </w:tc>
      </w:tr>
    </w:tbl>
    <w:p w14:paraId="0AFBF887" w14:textId="77777777" w:rsidR="00BC2502" w:rsidRDefault="00BC2502" w:rsidP="005D66F0"/>
    <w:p w14:paraId="7F7A0025" w14:textId="77777777" w:rsidR="00BC2502" w:rsidRDefault="00BC2502" w:rsidP="00BC2502">
      <w:pPr>
        <w:pStyle w:val="Heading1"/>
        <w:ind w:left="0"/>
        <w:rPr>
          <w:rStyle w:val="Strong"/>
          <w:rFonts w:asciiTheme="minorHAnsi" w:hAnsiTheme="minorHAnsi" w:cstheme="minorHAnsi"/>
          <w:b/>
          <w:bCs/>
          <w:color w:val="B4D012"/>
        </w:rPr>
      </w:pPr>
      <w:r w:rsidRPr="00BC2502">
        <w:rPr>
          <w:rStyle w:val="Strong"/>
          <w:rFonts w:asciiTheme="minorHAnsi" w:hAnsiTheme="minorHAnsi" w:cstheme="minorHAnsi"/>
          <w:b/>
          <w:bCs/>
          <w:color w:val="B4D012"/>
        </w:rPr>
        <w:t>Access to social and economic opportunities</w:t>
      </w:r>
    </w:p>
    <w:p w14:paraId="066498FC" w14:textId="77777777" w:rsidR="00A26667" w:rsidRDefault="00A26667" w:rsidP="00A26667">
      <w:pPr>
        <w:rPr>
          <w:b/>
        </w:rPr>
      </w:pPr>
      <w:r w:rsidRPr="00A26667">
        <w:rPr>
          <w:b/>
        </w:rPr>
        <w:t xml:space="preserve">Summary of results </w:t>
      </w:r>
    </w:p>
    <w:p w14:paraId="5C4DB3AB" w14:textId="4F42DBDE" w:rsidR="00D36F42" w:rsidRPr="00C87DA2" w:rsidRDefault="00FE1BDE" w:rsidP="00D36F42">
      <w:pPr>
        <w:rPr>
          <w:rStyle w:val="Strong"/>
          <w:b w:val="0"/>
        </w:rPr>
      </w:pPr>
      <w:r>
        <w:t xml:space="preserve">Across all modes, with the exception to public transport, there </w:t>
      </w:r>
      <w:r w:rsidR="008B6D14">
        <w:t>has been a minor decrease in the proportion of jobs accessible within a reasonable timeframe</w:t>
      </w:r>
      <w:r w:rsidR="00C31EC7">
        <w:rPr>
          <w:rStyle w:val="FootnoteReference"/>
        </w:rPr>
        <w:footnoteReference w:id="7"/>
      </w:r>
      <w:r w:rsidR="00C31EC7">
        <w:t xml:space="preserve"> during the morning peak</w:t>
      </w:r>
      <w:r w:rsidR="008B6D14">
        <w:t xml:space="preserve">. </w:t>
      </w:r>
      <w:r>
        <w:t xml:space="preserve">Access </w:t>
      </w:r>
      <w:r w:rsidR="00C31EC7">
        <w:t xml:space="preserve">to jobs </w:t>
      </w:r>
      <w:r>
        <w:t xml:space="preserve">is lowest </w:t>
      </w:r>
      <w:r w:rsidR="00C31EC7">
        <w:t xml:space="preserve">by </w:t>
      </w:r>
      <w:r>
        <w:t xml:space="preserve">walking (5%) and highest </w:t>
      </w:r>
      <w:r w:rsidR="00C31EC7">
        <w:t xml:space="preserve">by </w:t>
      </w:r>
      <w:r>
        <w:t>private vehicle (44%) for this measure</w:t>
      </w:r>
      <w:r w:rsidRPr="00D36F42">
        <w:rPr>
          <w:b/>
        </w:rPr>
        <w:t xml:space="preserve">. </w:t>
      </w:r>
      <w:r w:rsidR="00D36F42" w:rsidRPr="00D36F42">
        <w:rPr>
          <w:rStyle w:val="Strong"/>
          <w:b w:val="0"/>
        </w:rPr>
        <w:t>Note that the measure refers to the proportion of jobs that are accessible, not the proportion of people who can access a job.</w:t>
      </w:r>
    </w:p>
    <w:p w14:paraId="2CE06B9B" w14:textId="5AB843BE" w:rsidR="00C31EC7" w:rsidRDefault="00AB3D14" w:rsidP="00C64945">
      <w:pPr>
        <w:rPr>
          <w:rStyle w:val="Strong"/>
          <w:b w:val="0"/>
        </w:rPr>
      </w:pPr>
      <w:r>
        <w:rPr>
          <w:rStyle w:val="Strong"/>
          <w:b w:val="0"/>
        </w:rPr>
        <w:t>In terms of the proportion of people who can access various essential services (including education, health and grocery shopping),</w:t>
      </w:r>
      <w:r w:rsidR="00D36F42" w:rsidRPr="00D36F42">
        <w:rPr>
          <w:rStyle w:val="Strong"/>
          <w:b w:val="0"/>
        </w:rPr>
        <w:t xml:space="preserve"> this measure uses meshbl</w:t>
      </w:r>
      <w:r>
        <w:rPr>
          <w:rStyle w:val="Strong"/>
          <w:b w:val="0"/>
        </w:rPr>
        <w:t xml:space="preserve">ock and found the following trends: </w:t>
      </w:r>
      <w:r w:rsidR="009A1E27">
        <w:rPr>
          <w:rStyle w:val="Strong"/>
          <w:b w:val="0"/>
        </w:rPr>
        <w:t>p</w:t>
      </w:r>
      <w:r w:rsidR="00C64945" w:rsidRPr="00C64945">
        <w:rPr>
          <w:rStyle w:val="Strong"/>
          <w:b w:val="0"/>
        </w:rPr>
        <w:t>rimary schools, secondary schools, General Practitioner (“GP”) clinics, and supermarkets are all accessible to</w:t>
      </w:r>
      <w:r>
        <w:rPr>
          <w:rStyle w:val="Strong"/>
          <w:b w:val="0"/>
        </w:rPr>
        <w:t>…</w:t>
      </w:r>
    </w:p>
    <w:p w14:paraId="4EB1FEED" w14:textId="181E682E" w:rsidR="00C31EC7" w:rsidRPr="00AD2D31" w:rsidRDefault="00D03537" w:rsidP="00AB3D14">
      <w:pPr>
        <w:pStyle w:val="ListParagraph"/>
        <w:numPr>
          <w:ilvl w:val="0"/>
          <w:numId w:val="18"/>
        </w:numPr>
        <w:rPr>
          <w:rStyle w:val="Strong"/>
          <w:b w:val="0"/>
          <w:color w:val="auto"/>
        </w:rPr>
      </w:pPr>
      <w:r w:rsidRPr="00AD2D31">
        <w:rPr>
          <w:rStyle w:val="Strong"/>
          <w:b w:val="0"/>
          <w:color w:val="auto"/>
        </w:rPr>
        <w:t>95</w:t>
      </w:r>
      <w:r w:rsidR="00C64945" w:rsidRPr="00AD2D31">
        <w:rPr>
          <w:rStyle w:val="Strong"/>
          <w:b w:val="0"/>
          <w:color w:val="auto"/>
        </w:rPr>
        <w:t>% of the population within 15 minutes drive time</w:t>
      </w:r>
      <w:r w:rsidR="00C31EC7" w:rsidRPr="00AD2D31">
        <w:rPr>
          <w:rStyle w:val="Strong"/>
          <w:b w:val="0"/>
          <w:color w:val="auto"/>
        </w:rPr>
        <w:t>;</w:t>
      </w:r>
    </w:p>
    <w:p w14:paraId="02412DEF" w14:textId="77777777" w:rsidR="00D03537" w:rsidRPr="00AD2D31" w:rsidRDefault="00D03537" w:rsidP="00D03537">
      <w:pPr>
        <w:pStyle w:val="ListParagraph"/>
        <w:numPr>
          <w:ilvl w:val="0"/>
          <w:numId w:val="18"/>
        </w:numPr>
        <w:rPr>
          <w:rStyle w:val="Strong"/>
          <w:b w:val="0"/>
          <w:color w:val="auto"/>
        </w:rPr>
      </w:pPr>
      <w:r w:rsidRPr="00AD2D31">
        <w:rPr>
          <w:rStyle w:val="Strong"/>
          <w:b w:val="0"/>
          <w:color w:val="auto"/>
        </w:rPr>
        <w:t>53% of the population within 15 minutes by public transport;</w:t>
      </w:r>
    </w:p>
    <w:p w14:paraId="43B29BBA" w14:textId="618F5B17" w:rsidR="00C31EC7" w:rsidRDefault="00D03537" w:rsidP="00AB3D14">
      <w:pPr>
        <w:pStyle w:val="ListParagraph"/>
        <w:numPr>
          <w:ilvl w:val="0"/>
          <w:numId w:val="18"/>
        </w:numPr>
        <w:rPr>
          <w:rStyle w:val="Strong"/>
          <w:b w:val="0"/>
        </w:rPr>
      </w:pPr>
      <w:r>
        <w:rPr>
          <w:rStyle w:val="Strong"/>
          <w:b w:val="0"/>
        </w:rPr>
        <w:t>81</w:t>
      </w:r>
      <w:r w:rsidR="00C64945" w:rsidRPr="00C31EC7">
        <w:rPr>
          <w:rStyle w:val="Strong"/>
          <w:b w:val="0"/>
        </w:rPr>
        <w:t>% of the population within 15 minutes by cycling</w:t>
      </w:r>
      <w:r w:rsidR="00C31EC7">
        <w:rPr>
          <w:rStyle w:val="Strong"/>
          <w:b w:val="0"/>
        </w:rPr>
        <w:t>;</w:t>
      </w:r>
      <w:r w:rsidR="00C64945" w:rsidRPr="00C31EC7">
        <w:rPr>
          <w:rStyle w:val="Strong"/>
          <w:b w:val="0"/>
        </w:rPr>
        <w:t xml:space="preserve"> and</w:t>
      </w:r>
    </w:p>
    <w:p w14:paraId="2BF282D6" w14:textId="53A66BE7" w:rsidR="00C64945" w:rsidRPr="00C31EC7" w:rsidRDefault="00D03537" w:rsidP="00AB3D14">
      <w:pPr>
        <w:pStyle w:val="ListParagraph"/>
        <w:numPr>
          <w:ilvl w:val="0"/>
          <w:numId w:val="18"/>
        </w:numPr>
        <w:rPr>
          <w:rStyle w:val="Strong"/>
          <w:b w:val="0"/>
        </w:rPr>
      </w:pPr>
      <w:r>
        <w:rPr>
          <w:rStyle w:val="Strong"/>
          <w:b w:val="0"/>
        </w:rPr>
        <w:t>44</w:t>
      </w:r>
      <w:r w:rsidR="00C64945" w:rsidRPr="00C31EC7">
        <w:rPr>
          <w:rStyle w:val="Strong"/>
          <w:b w:val="0"/>
        </w:rPr>
        <w:t xml:space="preserve">% of the population within 15 minutes by walking in 2019/20. </w:t>
      </w:r>
    </w:p>
    <w:p w14:paraId="11920BCF" w14:textId="6D9D0845" w:rsidR="00DF5E00" w:rsidRDefault="00FE1BDE" w:rsidP="008B6D14">
      <w:r>
        <w:t xml:space="preserve">When it comes to the biggest barriers to access, </w:t>
      </w:r>
      <w:r w:rsidR="00DF5E00">
        <w:t>the most common</w:t>
      </w:r>
      <w:r w:rsidR="00C31EC7">
        <w:t>ly cited</w:t>
      </w:r>
      <w:r w:rsidR="00DF5E00">
        <w:t xml:space="preserve"> barriers </w:t>
      </w:r>
      <w:r w:rsidR="00C31EC7">
        <w:t>in</w:t>
      </w:r>
      <w:r w:rsidR="009A1E27">
        <w:t xml:space="preserve"> a survey conducted in</w:t>
      </w:r>
      <w:r w:rsidR="00C31EC7">
        <w:t xml:space="preserve"> 2019/20 </w:t>
      </w:r>
      <w:r w:rsidR="00DF5E00">
        <w:t xml:space="preserve">were: </w:t>
      </w:r>
    </w:p>
    <w:p w14:paraId="4BDFC579" w14:textId="7282FBD4" w:rsidR="00DF5E00" w:rsidRDefault="00DF5E00" w:rsidP="00DF5E00">
      <w:pPr>
        <w:pStyle w:val="ListParagraph"/>
        <w:numPr>
          <w:ilvl w:val="0"/>
          <w:numId w:val="15"/>
        </w:numPr>
      </w:pPr>
      <w:r>
        <w:t>COVID</w:t>
      </w:r>
      <w:r w:rsidR="00D03537">
        <w:t>-19</w:t>
      </w:r>
      <w:r>
        <w:t xml:space="preserve"> (28%) </w:t>
      </w:r>
    </w:p>
    <w:p w14:paraId="2603DDD1" w14:textId="40984B5C" w:rsidR="00D03537" w:rsidRDefault="00D03537" w:rsidP="00DF5E00">
      <w:pPr>
        <w:pStyle w:val="ListParagraph"/>
        <w:numPr>
          <w:ilvl w:val="0"/>
          <w:numId w:val="15"/>
        </w:numPr>
      </w:pPr>
      <w:r>
        <w:t>Bad weather (25%)</w:t>
      </w:r>
    </w:p>
    <w:p w14:paraId="62A799C2" w14:textId="328661FF" w:rsidR="00DF5E00" w:rsidRDefault="00DF5E00" w:rsidP="00DF5E00">
      <w:pPr>
        <w:pStyle w:val="ListParagraph"/>
        <w:numPr>
          <w:ilvl w:val="0"/>
          <w:numId w:val="15"/>
        </w:numPr>
      </w:pPr>
      <w:r>
        <w:t>Cost (</w:t>
      </w:r>
      <w:r w:rsidR="00D03537">
        <w:t>19</w:t>
      </w:r>
      <w:r>
        <w:t xml:space="preserve">%) </w:t>
      </w:r>
    </w:p>
    <w:p w14:paraId="3938A607" w14:textId="559EEAB6" w:rsidR="00D03537" w:rsidRDefault="00D03537" w:rsidP="00DF5E00">
      <w:pPr>
        <w:pStyle w:val="ListParagraph"/>
        <w:numPr>
          <w:ilvl w:val="0"/>
          <w:numId w:val="15"/>
        </w:numPr>
      </w:pPr>
      <w:r>
        <w:t>Would have taken too long (16%)</w:t>
      </w:r>
    </w:p>
    <w:p w14:paraId="52C28968" w14:textId="686A4EBF" w:rsidR="00DF5E00" w:rsidRDefault="00DF5E00" w:rsidP="00DF5E00">
      <w:pPr>
        <w:pStyle w:val="ListParagraph"/>
        <w:numPr>
          <w:ilvl w:val="0"/>
          <w:numId w:val="15"/>
        </w:numPr>
      </w:pPr>
      <w:r>
        <w:t>Health conditions/disability (</w:t>
      </w:r>
      <w:r w:rsidR="00D03537">
        <w:t>15</w:t>
      </w:r>
      <w:r>
        <w:t xml:space="preserve">%) </w:t>
      </w:r>
    </w:p>
    <w:p w14:paraId="00288EAB" w14:textId="515BF0CB" w:rsidR="00DF5E00" w:rsidRDefault="00DF5E00" w:rsidP="00DF5E00">
      <w:pPr>
        <w:pStyle w:val="ListParagraph"/>
        <w:numPr>
          <w:ilvl w:val="0"/>
          <w:numId w:val="15"/>
        </w:numPr>
      </w:pPr>
      <w:r>
        <w:t>Family/caring responsibilities got in the way (</w:t>
      </w:r>
      <w:r w:rsidR="00D03537">
        <w:t>14</w:t>
      </w:r>
      <w:r>
        <w:t>%)</w:t>
      </w:r>
      <w:r w:rsidR="00C31EC7">
        <w:t>.</w:t>
      </w:r>
      <w:r>
        <w:t xml:space="preserve"> </w:t>
      </w:r>
    </w:p>
    <w:p w14:paraId="2EF5E015" w14:textId="77777777" w:rsidR="008B6D14" w:rsidRPr="00665E85" w:rsidRDefault="008B6D14" w:rsidP="00DF5E00">
      <w:pPr>
        <w:ind w:left="360"/>
      </w:pPr>
    </w:p>
    <w:tbl>
      <w:tblPr>
        <w:tblStyle w:val="TableGrid"/>
        <w:tblW w:w="5000" w:type="pct"/>
        <w:tblLook w:val="04A0" w:firstRow="1" w:lastRow="0" w:firstColumn="1" w:lastColumn="0" w:noHBand="0" w:noVBand="1"/>
      </w:tblPr>
      <w:tblGrid>
        <w:gridCol w:w="8018"/>
        <w:gridCol w:w="2438"/>
      </w:tblGrid>
      <w:tr w:rsidR="00A76578" w:rsidRPr="00BA0BD0" w14:paraId="2AB926C1" w14:textId="77777777" w:rsidTr="00A76578">
        <w:tc>
          <w:tcPr>
            <w:tcW w:w="3804" w:type="pct"/>
            <w:shd w:val="clear" w:color="auto" w:fill="EDF8AA"/>
          </w:tcPr>
          <w:p w14:paraId="29A254AE" w14:textId="77777777" w:rsidR="00A76578" w:rsidRPr="00BA0BD0" w:rsidRDefault="00A76578" w:rsidP="00BC2502">
            <w:pPr>
              <w:keepNext/>
              <w:keepLines/>
              <w:rPr>
                <w:rStyle w:val="Strong"/>
              </w:rPr>
            </w:pPr>
            <w:r>
              <w:rPr>
                <w:noProof/>
                <w:lang w:eastAsia="en-NZ"/>
              </w:rPr>
              <w:drawing>
                <wp:inline distT="0" distB="0" distL="0" distR="0" wp14:anchorId="06F69396" wp14:editId="3C88A59A">
                  <wp:extent cx="4927904" cy="2454910"/>
                  <wp:effectExtent l="0" t="0" r="6350" b="254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tc>
        <w:tc>
          <w:tcPr>
            <w:tcW w:w="1196" w:type="pct"/>
            <w:shd w:val="clear" w:color="auto" w:fill="EDF8AA"/>
            <w:vAlign w:val="center"/>
          </w:tcPr>
          <w:p w14:paraId="53977146" w14:textId="7611D506" w:rsidR="00A76578" w:rsidRDefault="00C31EC7" w:rsidP="00964100">
            <w:pPr>
              <w:pStyle w:val="BodyText"/>
              <w:spacing w:before="120" w:after="120"/>
            </w:pPr>
            <w:r>
              <w:t>In 2019/20,</w:t>
            </w:r>
            <w:r w:rsidR="00A76578">
              <w:t xml:space="preserve"> across all modes, with exception to public transport, there has been a minor decrease in the proportion of jobs accessible within a reasonable timeframe.</w:t>
            </w:r>
          </w:p>
          <w:p w14:paraId="73E17101" w14:textId="77777777" w:rsidR="00A76578" w:rsidRPr="00BA0BD0" w:rsidRDefault="00A76578" w:rsidP="00BC2502">
            <w:pPr>
              <w:jc w:val="center"/>
            </w:pPr>
          </w:p>
        </w:tc>
      </w:tr>
      <w:tr w:rsidR="00A76578" w:rsidRPr="00BA0BD0" w14:paraId="749DF2C2" w14:textId="77777777" w:rsidTr="00A76578">
        <w:tc>
          <w:tcPr>
            <w:tcW w:w="5000" w:type="pct"/>
            <w:gridSpan w:val="2"/>
            <w:shd w:val="clear" w:color="auto" w:fill="D0CECE" w:themeFill="background2" w:themeFillShade="E6"/>
          </w:tcPr>
          <w:p w14:paraId="1C108977" w14:textId="77777777" w:rsidR="00A76578" w:rsidRPr="00A26667" w:rsidRDefault="00A76578" w:rsidP="00BC2502">
            <w:pPr>
              <w:pStyle w:val="BodyText"/>
              <w:spacing w:before="120" w:after="120"/>
              <w:rPr>
                <w:rFonts w:asciiTheme="minorHAnsi" w:hAnsiTheme="minorHAnsi" w:cstheme="minorHAnsi"/>
                <w:sz w:val="16"/>
              </w:rPr>
            </w:pPr>
            <w:r w:rsidRPr="00A26667">
              <w:rPr>
                <w:rFonts w:asciiTheme="minorHAnsi" w:hAnsiTheme="minorHAnsi" w:cstheme="minorHAnsi"/>
                <w:i/>
                <w:sz w:val="16"/>
              </w:rPr>
              <w:t>Data source</w:t>
            </w:r>
            <w:r w:rsidRPr="00A26667">
              <w:rPr>
                <w:rFonts w:asciiTheme="minorHAnsi" w:hAnsiTheme="minorHAnsi" w:cstheme="minorHAnsi"/>
                <w:sz w:val="16"/>
              </w:rPr>
              <w:t xml:space="preserve">: Waka Kotahi. Job accessibility is defined as travel within a reasonable time during weekday morning peak. For walking this is defined as 45 minutes, for cycling this is defined as 45 minutes door-to-door cycle time for a confident cyclist who is willing to cycle on the road, for public transport this is </w:t>
            </w:r>
            <w:r w:rsidRPr="00A26667">
              <w:rPr>
                <w:rFonts w:asciiTheme="minorHAnsi" w:hAnsiTheme="minorHAnsi" w:cstheme="minorHAnsi"/>
                <w:sz w:val="16"/>
              </w:rPr>
              <w:lastRenderedPageBreak/>
              <w:t>defined as 45 minutes and includes walking to/from the stop and both transfers and transit time, for driving this is defined as a 45-minute drive time including approximately 15 minutes to find a carpark and get to/from parked car to final destination.</w:t>
            </w:r>
          </w:p>
          <w:p w14:paraId="41765B6B" w14:textId="77777777" w:rsidR="00A76578" w:rsidRPr="00A26667" w:rsidRDefault="00A76578" w:rsidP="00BC2502">
            <w:pPr>
              <w:pStyle w:val="BodyText"/>
              <w:spacing w:before="120" w:after="120"/>
              <w:rPr>
                <w:rFonts w:asciiTheme="minorHAnsi" w:hAnsiTheme="minorHAnsi" w:cstheme="minorHAnsi"/>
                <w:sz w:val="16"/>
              </w:rPr>
            </w:pPr>
            <w:r w:rsidRPr="00A26667">
              <w:rPr>
                <w:rFonts w:asciiTheme="minorHAnsi" w:hAnsiTheme="minorHAnsi" w:cstheme="minorHAnsi"/>
                <w:sz w:val="16"/>
              </w:rPr>
              <w:t xml:space="preserve">Note: The figures for the proportion of jobs that can be reached within 45 minutes during morning peak is a snapshot of the land-transport system from </w:t>
            </w:r>
            <w:r w:rsidRPr="00A26667">
              <w:rPr>
                <w:rFonts w:asciiTheme="minorHAnsi" w:eastAsia="Times New Roman" w:hAnsiTheme="minorHAnsi" w:cstheme="minorHAnsi"/>
                <w:sz w:val="16"/>
                <w:lang w:val="en-US"/>
              </w:rPr>
              <w:t>7am to 9am</w:t>
            </w:r>
            <w:r w:rsidRPr="00A26667">
              <w:rPr>
                <w:rFonts w:asciiTheme="minorHAnsi" w:hAnsiTheme="minorHAnsi" w:cstheme="minorHAnsi"/>
                <w:sz w:val="16"/>
              </w:rPr>
              <w:t xml:space="preserve"> on a non-holiday in early March (before COVID-19 movement restrictions began).</w:t>
            </w:r>
          </w:p>
        </w:tc>
      </w:tr>
      <w:tr w:rsidR="00A76578" w:rsidRPr="00BA0BD0" w14:paraId="2585F662" w14:textId="77777777" w:rsidTr="00A76578">
        <w:tc>
          <w:tcPr>
            <w:tcW w:w="3804" w:type="pct"/>
            <w:shd w:val="clear" w:color="auto" w:fill="EDF8AA"/>
          </w:tcPr>
          <w:tbl>
            <w:tblPr>
              <w:tblStyle w:val="GridTable4-Accent1"/>
              <w:tblpPr w:leftFromText="180" w:rightFromText="180" w:vertAnchor="page" w:horzAnchor="margin" w:tblpY="1"/>
              <w:tblOverlap w:val="never"/>
              <w:tblW w:w="7792" w:type="dxa"/>
              <w:tblLook w:val="04A0" w:firstRow="1" w:lastRow="0" w:firstColumn="1" w:lastColumn="0" w:noHBand="0" w:noVBand="1"/>
            </w:tblPr>
            <w:tblGrid>
              <w:gridCol w:w="4717"/>
              <w:gridCol w:w="3075"/>
            </w:tblGrid>
            <w:tr w:rsidR="00A76578" w:rsidRPr="001215B4" w14:paraId="714786FE" w14:textId="77777777" w:rsidTr="00A765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B4D012"/>
                </w:tcPr>
                <w:p w14:paraId="6A76E2FA" w14:textId="77777777" w:rsidR="00A76578" w:rsidRPr="001215B4" w:rsidRDefault="00A76578" w:rsidP="00BC2502">
                  <w:pPr>
                    <w:pStyle w:val="BodyText"/>
                    <w:ind w:right="-28"/>
                    <w:jc w:val="center"/>
                    <w:rPr>
                      <w:sz w:val="20"/>
                    </w:rPr>
                  </w:pPr>
                </w:p>
              </w:tc>
              <w:tc>
                <w:tcPr>
                  <w:tcW w:w="3075" w:type="dxa"/>
                  <w:shd w:val="clear" w:color="auto" w:fill="B4D012"/>
                </w:tcPr>
                <w:p w14:paraId="6DEE7D3D" w14:textId="77777777" w:rsidR="00A76578" w:rsidRPr="001215B4" w:rsidRDefault="00A76578" w:rsidP="00BC2502">
                  <w:pPr>
                    <w:pStyle w:val="BodyText"/>
                    <w:ind w:right="-28"/>
                    <w:jc w:val="center"/>
                    <w:cnfStyle w:val="100000000000" w:firstRow="1" w:lastRow="0" w:firstColumn="0" w:lastColumn="0" w:oddVBand="0" w:evenVBand="0" w:oddHBand="0" w:evenHBand="0" w:firstRowFirstColumn="0" w:firstRowLastColumn="0" w:lastRowFirstColumn="0" w:lastRowLastColumn="0"/>
                    <w:rPr>
                      <w:sz w:val="20"/>
                    </w:rPr>
                  </w:pPr>
                  <w:r w:rsidRPr="001215B4">
                    <w:rPr>
                      <w:sz w:val="20"/>
                    </w:rPr>
                    <w:t>2019/20</w:t>
                  </w:r>
                </w:p>
              </w:tc>
            </w:tr>
            <w:tr w:rsidR="00A76578" w:rsidRPr="001215B4" w14:paraId="16E3B8D6" w14:textId="77777777" w:rsidTr="00A76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6012A599" w14:textId="77777777" w:rsidR="00A76578" w:rsidRPr="001215B4" w:rsidRDefault="00A76578" w:rsidP="00BC2502">
                  <w:pPr>
                    <w:pStyle w:val="BodyText"/>
                    <w:ind w:right="-28"/>
                    <w:jc w:val="center"/>
                    <w:rPr>
                      <w:b w:val="0"/>
                      <w:sz w:val="20"/>
                    </w:rPr>
                  </w:pPr>
                  <w:r w:rsidRPr="00901D29">
                    <w:rPr>
                      <w:b w:val="0"/>
                      <w:sz w:val="20"/>
                    </w:rPr>
                    <w:t>Proportion of recently built residential dwellings in major urban areas with access to frequ</w:t>
                  </w:r>
                  <w:r w:rsidRPr="002D5659">
                    <w:rPr>
                      <w:b w:val="0"/>
                      <w:sz w:val="20"/>
                      <w:shd w:val="clear" w:color="auto" w:fill="FFFFFF" w:themeFill="background1"/>
                    </w:rPr>
                    <w:t>ent public transport services</w:t>
                  </w:r>
                </w:p>
              </w:tc>
              <w:tc>
                <w:tcPr>
                  <w:tcW w:w="3075" w:type="dxa"/>
                  <w:shd w:val="clear" w:color="auto" w:fill="FFFFFF" w:themeFill="background1"/>
                </w:tcPr>
                <w:p w14:paraId="4667CB01" w14:textId="77777777" w:rsidR="00A76578" w:rsidRPr="001215B4" w:rsidRDefault="00A76578" w:rsidP="00BC2502">
                  <w:pPr>
                    <w:pStyle w:val="BodyText"/>
                    <w:ind w:right="-28"/>
                    <w:jc w:val="center"/>
                    <w:cnfStyle w:val="000000100000" w:firstRow="0" w:lastRow="0" w:firstColumn="0" w:lastColumn="0" w:oddVBand="0" w:evenVBand="0" w:oddHBand="1" w:evenHBand="0" w:firstRowFirstColumn="0" w:firstRowLastColumn="0" w:lastRowFirstColumn="0" w:lastRowLastColumn="0"/>
                    <w:rPr>
                      <w:sz w:val="20"/>
                    </w:rPr>
                  </w:pPr>
                  <w:r>
                    <w:rPr>
                      <w:sz w:val="20"/>
                    </w:rPr>
                    <w:t>9.5%</w:t>
                  </w:r>
                </w:p>
              </w:tc>
            </w:tr>
          </w:tbl>
          <w:p w14:paraId="3936AA8E" w14:textId="77777777" w:rsidR="00A76578" w:rsidRDefault="00A76578" w:rsidP="00BC2502">
            <w:pPr>
              <w:keepNext/>
              <w:keepLines/>
              <w:rPr>
                <w:noProof/>
                <w:lang w:eastAsia="en-NZ"/>
              </w:rPr>
            </w:pPr>
          </w:p>
        </w:tc>
        <w:tc>
          <w:tcPr>
            <w:tcW w:w="1196" w:type="pct"/>
            <w:vAlign w:val="center"/>
          </w:tcPr>
          <w:p w14:paraId="0139E800" w14:textId="77777777" w:rsidR="00A76578" w:rsidRPr="00BA0BD0" w:rsidRDefault="00A76578" w:rsidP="00BC2502">
            <w:pPr>
              <w:jc w:val="center"/>
            </w:pPr>
            <w:r>
              <w:t>This is a new proxy measure</w:t>
            </w:r>
          </w:p>
        </w:tc>
      </w:tr>
      <w:tr w:rsidR="00A76578" w:rsidRPr="00BA0BD0" w14:paraId="6E01FC99" w14:textId="77777777" w:rsidTr="00A76578">
        <w:tc>
          <w:tcPr>
            <w:tcW w:w="5000" w:type="pct"/>
            <w:gridSpan w:val="2"/>
            <w:shd w:val="clear" w:color="auto" w:fill="D0CECE" w:themeFill="background2" w:themeFillShade="E6"/>
          </w:tcPr>
          <w:p w14:paraId="1F49D1CA" w14:textId="5EA55C41" w:rsidR="00A76578" w:rsidRPr="00A26667" w:rsidRDefault="00A76578" w:rsidP="00BC2502">
            <w:pPr>
              <w:pStyle w:val="BodyText"/>
              <w:spacing w:before="120" w:after="120"/>
              <w:rPr>
                <w:rFonts w:asciiTheme="minorHAnsi" w:hAnsiTheme="minorHAnsi" w:cstheme="minorHAnsi"/>
                <w:sz w:val="16"/>
                <w:szCs w:val="16"/>
              </w:rPr>
            </w:pPr>
            <w:r w:rsidRPr="00A26667">
              <w:rPr>
                <w:rFonts w:asciiTheme="minorHAnsi" w:hAnsiTheme="minorHAnsi" w:cstheme="minorHAnsi"/>
                <w:i/>
                <w:sz w:val="16"/>
                <w:szCs w:val="16"/>
                <w:shd w:val="clear" w:color="auto" w:fill="D0CECE" w:themeFill="background2" w:themeFillShade="E6"/>
              </w:rPr>
              <w:t>Data source</w:t>
            </w:r>
            <w:r w:rsidRPr="00A26667">
              <w:rPr>
                <w:rFonts w:asciiTheme="minorHAnsi" w:hAnsiTheme="minorHAnsi" w:cstheme="minorHAnsi"/>
                <w:sz w:val="16"/>
                <w:szCs w:val="16"/>
                <w:shd w:val="clear" w:color="auto" w:fill="D0CECE" w:themeFill="background2" w:themeFillShade="E6"/>
              </w:rPr>
              <w:t xml:space="preserve">: Waka Kotahi. Information comes from an MR Cagney analysis of 2020 morning peak frequent public transport in March 2020 and building consents issued between July 2019 </w:t>
            </w:r>
            <w:r w:rsidR="009A1E27">
              <w:rPr>
                <w:rFonts w:asciiTheme="minorHAnsi" w:hAnsiTheme="minorHAnsi" w:cstheme="minorHAnsi"/>
                <w:sz w:val="16"/>
                <w:szCs w:val="16"/>
                <w:shd w:val="clear" w:color="auto" w:fill="D0CECE" w:themeFill="background2" w:themeFillShade="E6"/>
              </w:rPr>
              <w:t>and</w:t>
            </w:r>
            <w:r w:rsidRPr="00A26667">
              <w:rPr>
                <w:rFonts w:asciiTheme="minorHAnsi" w:hAnsiTheme="minorHAnsi" w:cstheme="minorHAnsi"/>
                <w:sz w:val="16"/>
                <w:szCs w:val="16"/>
                <w:shd w:val="clear" w:color="auto" w:fill="D0CECE" w:themeFill="background2" w:themeFillShade="E6"/>
              </w:rPr>
              <w:t xml:space="preserve"> February 2020. Data covers Auckland, Christchurch, Dunedin, Hamilton, Hastings, Napier, Palmerston North, Queenstown, Rotorua, Tauranga, Wellington</w:t>
            </w:r>
            <w:r w:rsidRPr="00A26667">
              <w:rPr>
                <w:rFonts w:asciiTheme="minorHAnsi" w:hAnsiTheme="minorHAnsi" w:cstheme="minorHAnsi"/>
                <w:sz w:val="16"/>
                <w:szCs w:val="16"/>
              </w:rPr>
              <w:t xml:space="preserve"> and Whangarei.</w:t>
            </w:r>
          </w:p>
        </w:tc>
      </w:tr>
    </w:tbl>
    <w:p w14:paraId="5D446358" w14:textId="77777777" w:rsidR="00BC2502" w:rsidRDefault="00BC2502" w:rsidP="00BC2502"/>
    <w:tbl>
      <w:tblPr>
        <w:tblStyle w:val="TableGrid"/>
        <w:tblW w:w="5000" w:type="pct"/>
        <w:tblLook w:val="04A0" w:firstRow="1" w:lastRow="0" w:firstColumn="1" w:lastColumn="0" w:noHBand="0" w:noVBand="1"/>
      </w:tblPr>
      <w:tblGrid>
        <w:gridCol w:w="9156"/>
        <w:gridCol w:w="1300"/>
      </w:tblGrid>
      <w:tr w:rsidR="00A76578" w:rsidRPr="00461C3E" w14:paraId="0CC8E9CD" w14:textId="77777777" w:rsidTr="00247675">
        <w:tc>
          <w:tcPr>
            <w:tcW w:w="7955" w:type="dxa"/>
            <w:shd w:val="clear" w:color="auto" w:fill="EDF8AA"/>
          </w:tcPr>
          <w:p w14:paraId="23A3FC77" w14:textId="6CFB1A72" w:rsidR="00A76578" w:rsidRDefault="00247675" w:rsidP="00BC2502">
            <w:pPr>
              <w:keepNext/>
              <w:keepLines/>
              <w:rPr>
                <w:noProof/>
                <w:lang w:eastAsia="en-NZ"/>
              </w:rPr>
            </w:pPr>
            <w:r>
              <w:rPr>
                <w:noProof/>
                <w:lang w:eastAsia="en-NZ"/>
              </w:rPr>
              <w:drawing>
                <wp:inline distT="0" distB="0" distL="0" distR="0" wp14:anchorId="783289DC" wp14:editId="06E50AA4">
                  <wp:extent cx="5675243" cy="6684065"/>
                  <wp:effectExtent l="0" t="0" r="1905" b="25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1E7B754B" w14:textId="473657FB" w:rsidR="00A76578" w:rsidRPr="00BA0BD0" w:rsidRDefault="00A76578" w:rsidP="00BC2502">
            <w:pPr>
              <w:keepNext/>
              <w:keepLines/>
              <w:rPr>
                <w:noProof/>
                <w:lang w:eastAsia="en-NZ"/>
              </w:rPr>
            </w:pPr>
          </w:p>
        </w:tc>
        <w:tc>
          <w:tcPr>
            <w:tcW w:w="2501" w:type="dxa"/>
            <w:shd w:val="clear" w:color="auto" w:fill="EDF8AA"/>
          </w:tcPr>
          <w:p w14:paraId="6456C380" w14:textId="77777777" w:rsidR="00A76578" w:rsidRDefault="00A76578" w:rsidP="00BC2502"/>
          <w:p w14:paraId="6F96F1D8" w14:textId="77777777" w:rsidR="00A76578" w:rsidRPr="00461C3E" w:rsidRDefault="00A76578" w:rsidP="00BC2502"/>
        </w:tc>
      </w:tr>
      <w:tr w:rsidR="00A76578" w:rsidRPr="00461C3E" w14:paraId="169D9952" w14:textId="77777777" w:rsidTr="00247675">
        <w:tc>
          <w:tcPr>
            <w:tcW w:w="10456" w:type="dxa"/>
            <w:gridSpan w:val="2"/>
            <w:shd w:val="clear" w:color="auto" w:fill="D0CECE" w:themeFill="background2" w:themeFillShade="E6"/>
          </w:tcPr>
          <w:p w14:paraId="12BE1A8B" w14:textId="77777777" w:rsidR="00A76578" w:rsidRPr="00A26667" w:rsidRDefault="00A76578" w:rsidP="00BC2502">
            <w:pPr>
              <w:pStyle w:val="BodyText"/>
              <w:spacing w:before="120" w:after="120"/>
              <w:rPr>
                <w:rFonts w:asciiTheme="minorHAnsi" w:hAnsiTheme="minorHAnsi" w:cstheme="minorHAnsi"/>
                <w:sz w:val="16"/>
              </w:rPr>
            </w:pPr>
            <w:r w:rsidRPr="00A26667">
              <w:rPr>
                <w:rFonts w:asciiTheme="minorHAnsi" w:hAnsiTheme="minorHAnsi" w:cstheme="minorHAnsi"/>
                <w:i/>
                <w:sz w:val="16"/>
              </w:rPr>
              <w:t>Data source</w:t>
            </w:r>
            <w:r w:rsidRPr="00A26667">
              <w:rPr>
                <w:rFonts w:asciiTheme="minorHAnsi" w:hAnsiTheme="minorHAnsi" w:cstheme="minorHAnsi"/>
                <w:sz w:val="16"/>
              </w:rPr>
              <w:t xml:space="preserve">: Waka Kotahi. The figures for the proportion of population within 15-minute access to the nearest school, health facility and supermarket during morning peak is a snapshot of the land-transport system from </w:t>
            </w:r>
            <w:r w:rsidRPr="00A26667">
              <w:rPr>
                <w:rFonts w:asciiTheme="minorHAnsi" w:eastAsia="Times New Roman" w:hAnsiTheme="minorHAnsi" w:cstheme="minorHAnsi"/>
                <w:sz w:val="16"/>
                <w:lang w:val="en-US"/>
              </w:rPr>
              <w:t>7am to 9am</w:t>
            </w:r>
            <w:r w:rsidRPr="00A26667">
              <w:rPr>
                <w:rFonts w:asciiTheme="minorHAnsi" w:hAnsiTheme="minorHAnsi" w:cstheme="minorHAnsi"/>
                <w:sz w:val="16"/>
              </w:rPr>
              <w:t xml:space="preserve"> on a non-holiday in early March (before COVID-19 movement restrictions began).</w:t>
            </w:r>
          </w:p>
          <w:p w14:paraId="220CFB66" w14:textId="09047CFA" w:rsidR="00A76578" w:rsidRPr="00A26667" w:rsidRDefault="00A76578" w:rsidP="00BC2502">
            <w:pPr>
              <w:pStyle w:val="BodyText"/>
              <w:spacing w:before="120" w:after="120"/>
              <w:rPr>
                <w:rFonts w:asciiTheme="minorHAnsi" w:hAnsiTheme="minorHAnsi" w:cstheme="minorHAnsi"/>
                <w:sz w:val="16"/>
              </w:rPr>
            </w:pPr>
            <w:r w:rsidRPr="00A26667">
              <w:rPr>
                <w:rFonts w:asciiTheme="minorHAnsi" w:hAnsiTheme="minorHAnsi" w:cstheme="minorHAnsi"/>
                <w:sz w:val="16"/>
              </w:rPr>
              <w:lastRenderedPageBreak/>
              <w:t xml:space="preserve">This year, the method of calculating this measure </w:t>
            </w:r>
            <w:r w:rsidR="00510513">
              <w:rPr>
                <w:rFonts w:asciiTheme="minorHAnsi" w:hAnsiTheme="minorHAnsi" w:cstheme="minorHAnsi"/>
                <w:sz w:val="16"/>
              </w:rPr>
              <w:t xml:space="preserve">has been changed </w:t>
            </w:r>
            <w:r w:rsidRPr="00A26667">
              <w:rPr>
                <w:rFonts w:asciiTheme="minorHAnsi" w:hAnsiTheme="minorHAnsi" w:cstheme="minorHAnsi"/>
                <w:sz w:val="16"/>
              </w:rPr>
              <w:t>from using Google API (via Connected Journey Solutions) to a whole-of-network analysis using freely available sources (General Transit Feed Specification files, Open Street Maps, and the TomTom network that Waka Kotahi owns).</w:t>
            </w:r>
          </w:p>
          <w:p w14:paraId="671534AB" w14:textId="77777777" w:rsidR="00A76578" w:rsidRPr="00A26667" w:rsidRDefault="00A76578" w:rsidP="00BC2502">
            <w:pPr>
              <w:pStyle w:val="BodyText"/>
              <w:spacing w:before="120" w:after="120"/>
              <w:rPr>
                <w:rFonts w:asciiTheme="minorHAnsi" w:hAnsiTheme="minorHAnsi" w:cstheme="minorHAnsi"/>
                <w:sz w:val="16"/>
              </w:rPr>
            </w:pPr>
            <w:r w:rsidRPr="00A26667">
              <w:rPr>
                <w:rFonts w:asciiTheme="minorHAnsi" w:hAnsiTheme="minorHAnsi" w:cstheme="minorHAnsi"/>
                <w:sz w:val="16"/>
              </w:rPr>
              <w:t>Public Transport analysis only includes cities where electronic schedules could be obtained for 2019 and 2020, these include the following regional transport authorities: Auckland, Wellington, Christchurch, Waikato, Bay of Plenty, Hawke’s Bay, Palmerston North, Timaru and Otago.</w:t>
            </w:r>
          </w:p>
          <w:p w14:paraId="3392824D" w14:textId="77777777" w:rsidR="00A76578" w:rsidRPr="00A26667" w:rsidRDefault="00A76578" w:rsidP="00BC2502">
            <w:pPr>
              <w:pStyle w:val="BodyText"/>
              <w:spacing w:before="120" w:after="120"/>
              <w:rPr>
                <w:rFonts w:asciiTheme="minorHAnsi" w:hAnsiTheme="minorHAnsi" w:cstheme="minorHAnsi"/>
                <w:sz w:val="16"/>
              </w:rPr>
            </w:pPr>
            <w:r w:rsidRPr="00A26667">
              <w:rPr>
                <w:rFonts w:asciiTheme="minorHAnsi" w:hAnsiTheme="minorHAnsi" w:cstheme="minorHAnsi"/>
                <w:sz w:val="16"/>
              </w:rPr>
              <w:t>Data on locations were sourced from: general practitioner - Ministry of Health, supermarket - chain “store map” web pages (New World, Pak’nSave, Fresh Choice, Four Square, Countdown, SuperValue), schools - Education Counts Facilities Dataset (note that this included state schools but excluded private schools and state-integrated schools).</w:t>
            </w:r>
          </w:p>
        </w:tc>
      </w:tr>
    </w:tbl>
    <w:p w14:paraId="370F8DFF" w14:textId="77777777" w:rsidR="00BC2502" w:rsidRDefault="00BC2502" w:rsidP="00BC2502"/>
    <w:tbl>
      <w:tblPr>
        <w:tblStyle w:val="TableGrid"/>
        <w:tblW w:w="5000" w:type="pct"/>
        <w:tblLook w:val="04A0" w:firstRow="1" w:lastRow="0" w:firstColumn="1" w:lastColumn="0" w:noHBand="0" w:noVBand="1"/>
      </w:tblPr>
      <w:tblGrid>
        <w:gridCol w:w="7933"/>
        <w:gridCol w:w="2523"/>
      </w:tblGrid>
      <w:tr w:rsidR="00A76578" w:rsidRPr="00461C3E" w14:paraId="15CE5B60" w14:textId="77777777" w:rsidTr="00581EAD">
        <w:tc>
          <w:tcPr>
            <w:tcW w:w="7933" w:type="dxa"/>
            <w:shd w:val="clear" w:color="auto" w:fill="EDF8AA"/>
          </w:tcPr>
          <w:p w14:paraId="6AC733BF" w14:textId="77777777" w:rsidR="00A76578" w:rsidRDefault="00A76578" w:rsidP="00BC2502">
            <w:pPr>
              <w:keepNext/>
              <w:keepLines/>
              <w:rPr>
                <w:noProof/>
                <w:lang w:eastAsia="en-NZ"/>
              </w:rPr>
            </w:pPr>
            <w:r>
              <w:rPr>
                <w:noProof/>
                <w:lang w:eastAsia="en-NZ"/>
              </w:rPr>
              <w:drawing>
                <wp:inline distT="0" distB="0" distL="0" distR="0" wp14:anchorId="4D267AAE" wp14:editId="583D3ED3">
                  <wp:extent cx="4812919" cy="2842895"/>
                  <wp:effectExtent l="0" t="0" r="6985" b="14605"/>
                  <wp:docPr id="67" name="Chart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tc>
        <w:tc>
          <w:tcPr>
            <w:tcW w:w="2523" w:type="dxa"/>
            <w:shd w:val="clear" w:color="auto" w:fill="EDF8AA"/>
            <w:vAlign w:val="center"/>
          </w:tcPr>
          <w:p w14:paraId="7719047E" w14:textId="3AAF2C0E" w:rsidR="00A76578" w:rsidRPr="00461C3E" w:rsidRDefault="00A76578" w:rsidP="00964100">
            <w:r>
              <w:t xml:space="preserve">One of the </w:t>
            </w:r>
            <w:r w:rsidR="00730716">
              <w:t xml:space="preserve">most commonly cited </w:t>
            </w:r>
            <w:r>
              <w:t>barriers to access in 2018/19 was bad weather (34%). Whilst this continued to be one of the biggest contributing factors in 2019/20</w:t>
            </w:r>
            <w:r w:rsidR="00453522">
              <w:t xml:space="preserve"> (down to 25%)</w:t>
            </w:r>
            <w:r>
              <w:t>, COVID-19 had the biggest impact, affecting 28%.</w:t>
            </w:r>
          </w:p>
        </w:tc>
      </w:tr>
      <w:tr w:rsidR="00A76578" w:rsidRPr="00461C3E" w14:paraId="55A64829" w14:textId="77777777" w:rsidTr="00A76578">
        <w:tc>
          <w:tcPr>
            <w:tcW w:w="10456" w:type="dxa"/>
            <w:gridSpan w:val="2"/>
          </w:tcPr>
          <w:p w14:paraId="28942042" w14:textId="77777777" w:rsidR="00A76578" w:rsidRPr="00353C41" w:rsidRDefault="00A76578" w:rsidP="004E36A0">
            <w:pPr>
              <w:pStyle w:val="BodyText"/>
              <w:spacing w:before="120" w:after="120"/>
              <w:rPr>
                <w:sz w:val="20"/>
              </w:rPr>
            </w:pPr>
            <w:r w:rsidRPr="00353C41">
              <w:rPr>
                <w:i/>
                <w:sz w:val="20"/>
              </w:rPr>
              <w:t xml:space="preserve">Note </w:t>
            </w:r>
            <w:r w:rsidRPr="00353C41">
              <w:rPr>
                <w:sz w:val="20"/>
              </w:rPr>
              <w:t>that, compared with the previous year, COVID-19 is likely to have had a considerable impact on other (non-COVID) response options. The majority of those who said they didn’t travel due to COVID-19, did so due to the official travel restrictions and concern about catching the virus. This reasoning is likely to render other considerations/barriers (such as costs</w:t>
            </w:r>
            <w:r>
              <w:rPr>
                <w:sz w:val="20"/>
              </w:rPr>
              <w:t>, mode options etc.) irrelevant and so figures may be underrepresented of barriers in normal times.</w:t>
            </w:r>
          </w:p>
        </w:tc>
      </w:tr>
      <w:tr w:rsidR="00A76578" w:rsidRPr="00BA0BD0" w14:paraId="61D4CE15" w14:textId="77777777" w:rsidTr="000A6A59">
        <w:tc>
          <w:tcPr>
            <w:tcW w:w="7933" w:type="dxa"/>
            <w:shd w:val="clear" w:color="auto" w:fill="EDF8AA"/>
          </w:tcPr>
          <w:p w14:paraId="33C8A16D" w14:textId="77777777" w:rsidR="00A76578" w:rsidRDefault="000A6A59" w:rsidP="00BC2502">
            <w:pPr>
              <w:keepNext/>
              <w:keepLines/>
              <w:rPr>
                <w:noProof/>
                <w:lang w:eastAsia="en-NZ"/>
              </w:rPr>
            </w:pPr>
            <w:r>
              <w:rPr>
                <w:noProof/>
                <w:lang w:eastAsia="en-NZ"/>
              </w:rPr>
              <w:lastRenderedPageBreak/>
              <w:drawing>
                <wp:inline distT="0" distB="0" distL="0" distR="0" wp14:anchorId="753A8E6E" wp14:editId="1BD5EFCD">
                  <wp:extent cx="4805569" cy="2743200"/>
                  <wp:effectExtent l="0" t="0" r="14605" b="0"/>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672B31F9" w14:textId="798AE283" w:rsidR="000A6A59" w:rsidRPr="00BA0BD0" w:rsidRDefault="000A6A59" w:rsidP="00BC2502">
            <w:pPr>
              <w:keepNext/>
              <w:keepLines/>
              <w:rPr>
                <w:noProof/>
                <w:lang w:eastAsia="en-NZ"/>
              </w:rPr>
            </w:pPr>
            <w:r>
              <w:rPr>
                <w:noProof/>
                <w:lang w:eastAsia="en-NZ"/>
              </w:rPr>
              <w:drawing>
                <wp:inline distT="0" distB="0" distL="0" distR="0" wp14:anchorId="6020BEB6" wp14:editId="795D441E">
                  <wp:extent cx="4805045" cy="2743200"/>
                  <wp:effectExtent l="0" t="0" r="14605" b="0"/>
                  <wp:docPr id="66" name="Chart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tc>
        <w:tc>
          <w:tcPr>
            <w:tcW w:w="2523" w:type="dxa"/>
            <w:shd w:val="clear" w:color="auto" w:fill="EDF8AA"/>
            <w:vAlign w:val="center"/>
          </w:tcPr>
          <w:p w14:paraId="7F28F891" w14:textId="77777777" w:rsidR="00A76578" w:rsidRPr="00BA0BD0" w:rsidRDefault="00A76578" w:rsidP="00964100">
            <w:r>
              <w:t xml:space="preserve">47% of people </w:t>
            </w:r>
            <w:r w:rsidR="00581EAD">
              <w:t>were unable to take a journey to go shopping in 2019/20. This is on par with the previous year (2018/19).</w:t>
            </w:r>
          </w:p>
        </w:tc>
      </w:tr>
      <w:tr w:rsidR="00A76578" w:rsidRPr="00BA0BD0" w14:paraId="6EE5A366" w14:textId="77777777" w:rsidTr="00A76578">
        <w:tc>
          <w:tcPr>
            <w:tcW w:w="10456" w:type="dxa"/>
            <w:gridSpan w:val="2"/>
          </w:tcPr>
          <w:p w14:paraId="3BF2DBC3" w14:textId="77777777" w:rsidR="00A76578" w:rsidRPr="00353C41" w:rsidRDefault="00A76578" w:rsidP="00BC2502">
            <w:pPr>
              <w:pStyle w:val="BodyText"/>
              <w:spacing w:before="120" w:after="120"/>
              <w:rPr>
                <w:iCs/>
                <w:sz w:val="20"/>
              </w:rPr>
            </w:pPr>
            <w:r w:rsidRPr="00353C41">
              <w:rPr>
                <w:i/>
                <w:sz w:val="20"/>
              </w:rPr>
              <w:t xml:space="preserve">Note </w:t>
            </w:r>
            <w:r w:rsidRPr="00353C41">
              <w:rPr>
                <w:sz w:val="20"/>
              </w:rPr>
              <w:t xml:space="preserve">that people could have had more than one purpose for their missed journey, for example, people who couldn’t undertake a commute to work normally said that they would have ‘gone to work’ and would have ‘gone home’. </w:t>
            </w:r>
            <w:r w:rsidRPr="00353C41">
              <w:rPr>
                <w:iCs/>
                <w:sz w:val="20"/>
              </w:rPr>
              <w:t>The drop in figures for trips that would have been undertaken to go home and to go to work would have been affected by changes in work arrangements due to COVID-19.</w:t>
            </w:r>
          </w:p>
        </w:tc>
      </w:tr>
      <w:tr w:rsidR="00A76578" w:rsidRPr="00BA0BD0" w14:paraId="1D41689C" w14:textId="77777777" w:rsidTr="00A76578">
        <w:tc>
          <w:tcPr>
            <w:tcW w:w="7933" w:type="dxa"/>
            <w:shd w:val="clear" w:color="auto" w:fill="EDF8AA"/>
          </w:tcPr>
          <w:p w14:paraId="7ABA7EE8" w14:textId="77777777" w:rsidR="00A76578" w:rsidRPr="001215B4" w:rsidRDefault="00A76578" w:rsidP="00BC2502">
            <w:pPr>
              <w:pStyle w:val="BodyText"/>
              <w:rPr>
                <w:b/>
                <w:sz w:val="20"/>
              </w:rPr>
            </w:pPr>
            <w:r>
              <w:rPr>
                <w:noProof/>
                <w:lang w:bidi="ar-SA"/>
              </w:rPr>
              <w:drawing>
                <wp:inline distT="0" distB="0" distL="0" distR="0" wp14:anchorId="7273AE3E" wp14:editId="386328AC">
                  <wp:extent cx="4834821" cy="2743200"/>
                  <wp:effectExtent l="0" t="0" r="4445" b="0"/>
                  <wp:docPr id="69" name="Chart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tc>
        <w:tc>
          <w:tcPr>
            <w:tcW w:w="2523" w:type="dxa"/>
            <w:shd w:val="clear" w:color="auto" w:fill="EDF8AA"/>
            <w:vAlign w:val="center"/>
          </w:tcPr>
          <w:p w14:paraId="5FA3780D" w14:textId="07D92B32" w:rsidR="00A76578" w:rsidRPr="00BA0BD0" w:rsidRDefault="00A76578" w:rsidP="00964100">
            <w:r>
              <w:t xml:space="preserve">Those in the 15-29 age range (19%), followed by 30-49 (12%) are </w:t>
            </w:r>
            <w:r w:rsidR="00453522">
              <w:t>un</w:t>
            </w:r>
            <w:r>
              <w:t>able to make a trip they would otherwise make</w:t>
            </w:r>
            <w:r w:rsidR="00453522">
              <w:t xml:space="preserve"> </w:t>
            </w:r>
            <w:r w:rsidR="00453522" w:rsidRPr="00AD2D31">
              <w:t>because of cost, ‘would have taken too long’, ‘no suitable transport option available’ and ‘traffic conditions too bad’.</w:t>
            </w:r>
          </w:p>
        </w:tc>
      </w:tr>
      <w:tr w:rsidR="00A76578" w:rsidRPr="00BA0BD0" w14:paraId="2FB52809" w14:textId="77777777" w:rsidTr="00A76578">
        <w:tc>
          <w:tcPr>
            <w:tcW w:w="10456" w:type="dxa"/>
            <w:gridSpan w:val="2"/>
            <w:shd w:val="clear" w:color="auto" w:fill="D0CECE" w:themeFill="background2" w:themeFillShade="E6"/>
          </w:tcPr>
          <w:p w14:paraId="7156F300" w14:textId="13FDB757" w:rsidR="00A76578" w:rsidRPr="00A26667" w:rsidRDefault="00A76578" w:rsidP="00BC2502">
            <w:pPr>
              <w:rPr>
                <w:rFonts w:asciiTheme="minorHAnsi" w:hAnsiTheme="minorHAnsi" w:cstheme="minorHAnsi"/>
                <w:sz w:val="20"/>
              </w:rPr>
            </w:pPr>
            <w:r w:rsidRPr="00A26667">
              <w:rPr>
                <w:rFonts w:asciiTheme="minorHAnsi" w:hAnsiTheme="minorHAnsi" w:cstheme="minorHAnsi"/>
                <w:i/>
                <w:sz w:val="16"/>
              </w:rPr>
              <w:t>Data source</w:t>
            </w:r>
            <w:r w:rsidRPr="00A26667">
              <w:rPr>
                <w:rFonts w:asciiTheme="minorHAnsi" w:hAnsiTheme="minorHAnsi" w:cstheme="minorHAnsi"/>
                <w:sz w:val="16"/>
              </w:rPr>
              <w:t xml:space="preserve">: Waka Kotahi Customer Experience and Behaviour Journey </w:t>
            </w:r>
            <w:r w:rsidRPr="00AD2D31">
              <w:rPr>
                <w:rFonts w:asciiTheme="minorHAnsi" w:hAnsiTheme="minorHAnsi" w:cstheme="minorHAnsi"/>
                <w:sz w:val="16"/>
              </w:rPr>
              <w:t>Monitor Survey. Respondents could choose multiple barriers.</w:t>
            </w:r>
            <w:r w:rsidR="00453522" w:rsidRPr="00AD2D31">
              <w:rPr>
                <w:rFonts w:asciiTheme="minorHAnsi" w:hAnsiTheme="minorHAnsi" w:cstheme="minorHAnsi"/>
                <w:sz w:val="16"/>
              </w:rPr>
              <w:t xml:space="preserve"> Figures represent the proportion of surveyed respondents who were unable to take a beneficial journey in the previous week because of cost, ‘would have taken too long’, ‘no suitable transport option available’ and ‘traffic conditions too bad’.</w:t>
            </w:r>
          </w:p>
        </w:tc>
      </w:tr>
    </w:tbl>
    <w:p w14:paraId="53CD9D70" w14:textId="77777777" w:rsidR="00BC2502" w:rsidRDefault="00BC2502" w:rsidP="005D66F0"/>
    <w:p w14:paraId="16785529" w14:textId="23F2670E" w:rsidR="00665E85" w:rsidRPr="00665E85" w:rsidRDefault="009766A7" w:rsidP="00C46C4F">
      <w:pPr>
        <w:pStyle w:val="Heading1"/>
        <w:ind w:left="0"/>
      </w:pPr>
      <w:r w:rsidRPr="00A26667">
        <w:rPr>
          <w:rStyle w:val="Strong"/>
          <w:rFonts w:asciiTheme="minorHAnsi" w:hAnsiTheme="minorHAnsi" w:cstheme="minorHAnsi"/>
          <w:b/>
          <w:bCs/>
          <w:noProof/>
          <w:color w:val="B4D012"/>
          <w:lang w:bidi="ar-SA"/>
        </w:rPr>
        <mc:AlternateContent>
          <mc:Choice Requires="wps">
            <w:drawing>
              <wp:anchor distT="0" distB="0" distL="114300" distR="114300" simplePos="0" relativeHeight="251701248" behindDoc="1" locked="0" layoutInCell="1" allowOverlap="1" wp14:anchorId="4A53759B" wp14:editId="150C7441">
                <wp:simplePos x="0" y="0"/>
                <wp:positionH relativeFrom="margin">
                  <wp:align>right</wp:align>
                </wp:positionH>
                <wp:positionV relativeFrom="paragraph">
                  <wp:posOffset>1875652</wp:posOffset>
                </wp:positionV>
                <wp:extent cx="6626860" cy="1404620"/>
                <wp:effectExtent l="0" t="0" r="21590" b="24765"/>
                <wp:wrapTight wrapText="bothSides">
                  <wp:wrapPolygon edited="0">
                    <wp:start x="0" y="0"/>
                    <wp:lineTo x="0" y="21767"/>
                    <wp:lineTo x="21608" y="21767"/>
                    <wp:lineTo x="21608"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860" cy="1404620"/>
                        </a:xfrm>
                        <a:prstGeom prst="rect">
                          <a:avLst/>
                        </a:prstGeom>
                        <a:solidFill>
                          <a:schemeClr val="bg2">
                            <a:lumMod val="90000"/>
                          </a:schemeClr>
                        </a:solidFill>
                        <a:ln w="9525">
                          <a:solidFill>
                            <a:schemeClr val="tx1"/>
                          </a:solidFill>
                          <a:miter lim="800000"/>
                          <a:headEnd/>
                          <a:tailEnd/>
                        </a:ln>
                      </wps:spPr>
                      <wps:txbx>
                        <w:txbxContent>
                          <w:p w14:paraId="7D21A22E" w14:textId="77777777" w:rsidR="00BC0FB3" w:rsidRPr="00A26667" w:rsidRDefault="00BC0FB3" w:rsidP="000A6A59">
                            <w:pPr>
                              <w:rPr>
                                <w:rFonts w:asciiTheme="minorHAnsi" w:hAnsiTheme="minorHAnsi" w:cstheme="minorHAnsi"/>
                                <w:sz w:val="18"/>
                              </w:rPr>
                            </w:pPr>
                            <w:r w:rsidRPr="00A26667">
                              <w:rPr>
                                <w:rFonts w:asciiTheme="minorHAnsi" w:hAnsiTheme="minorHAnsi" w:cstheme="minorHAnsi"/>
                                <w:i/>
                                <w:sz w:val="16"/>
                              </w:rPr>
                              <w:t>Data source</w:t>
                            </w:r>
                            <w:r w:rsidRPr="00A26667">
                              <w:rPr>
                                <w:rFonts w:asciiTheme="minorHAnsi" w:hAnsiTheme="minorHAnsi" w:cstheme="minorHAnsi"/>
                                <w:sz w:val="16"/>
                              </w:rPr>
                              <w:t>: Waka Kotahi. This includes NLTP activities for Resilience Improvements and Preventive Maintenance that funds non-routine work to protect roads, road structures, eligible walking and cycling facilities from damage, and to minimise the threat of road closure from natural phenomena. Investment includes funding from the NLTF, Crown funding (Regional Investment Opportunities) and, where applicable, local share</w:t>
                            </w:r>
                            <w:r>
                              <w:rPr>
                                <w:rFonts w:asciiTheme="minorHAnsi" w:hAnsiTheme="minorHAnsi" w:cstheme="minorHAnsi"/>
                                <w:sz w:val="16"/>
                              </w:rPr>
                              <w:t xml:space="preserve"> [as mentioned earlier – what is our position on whether reporting should include non-NLTF too, considering Crown investments aren’t always influenced by GPS?]</w:t>
                            </w:r>
                          </w:p>
                        </w:txbxContent>
                      </wps:txbx>
                      <wps:bodyPr rot="0" vert="horz" wrap="square" lIns="91440" tIns="45720" rIns="91440" bIns="45720" anchor="t" anchorCtr="0">
                        <a:spAutoFit/>
                      </wps:bodyPr>
                    </wps:wsp>
                  </a:graphicData>
                </a:graphic>
              </wp:anchor>
            </w:drawing>
          </mc:Choice>
          <mc:Fallback>
            <w:pict>
              <v:shape w14:anchorId="4A53759B" id="_x0000_s1030" type="#_x0000_t202" style="position:absolute;margin-left:470.6pt;margin-top:147.7pt;width:521.8pt;height:110.6pt;z-index:-25161523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" fillcolor="#cfcdcd [2894]" strokecolor="black [3213]">
                <v:textbox style="mso-fit-shape-to-text:t">
                  <w:txbxContent>
                    <w:p w14:paraId="7D21A22E" w14:textId="77777777" w:rsidR="00BC0FB3" w:rsidRPr="00A26667" w:rsidRDefault="00BC0FB3" w:rsidP="000A6A59">
                      <w:pPr>
                        <w:rPr>
                          <w:rFonts w:asciiTheme="minorHAnsi" w:hAnsiTheme="minorHAnsi" w:cstheme="minorHAnsi"/>
                          <w:sz w:val="18"/>
                        </w:rPr>
                      </w:pPr>
                      <w:r w:rsidRPr="00A26667">
                        <w:rPr>
                          <w:rFonts w:asciiTheme="minorHAnsi" w:hAnsiTheme="minorHAnsi" w:cstheme="minorHAnsi"/>
                          <w:i/>
                          <w:sz w:val="16"/>
                        </w:rPr>
                        <w:t>Data source</w:t>
                      </w:r>
                      <w:r w:rsidRPr="00A26667">
                        <w:rPr>
                          <w:rFonts w:asciiTheme="minorHAnsi" w:hAnsiTheme="minorHAnsi" w:cstheme="minorHAnsi"/>
                          <w:sz w:val="16"/>
                        </w:rPr>
                        <w:t>: Waka Kotahi. This includes NLTP activities for Resilience Improvements and Preventive Maintenance that funds non-routine work to protect roads, road structures, eligible walking and cycling facilities from damage, and to minimise the threat of road closure from natural phenomena. Investment includes funding from the NLTF, Crown funding (Regional Investment Opportunities) and, where applicable, local share</w:t>
                      </w:r>
                      <w:r>
                        <w:rPr>
                          <w:rFonts w:asciiTheme="minorHAnsi" w:hAnsiTheme="minorHAnsi" w:cstheme="minorHAnsi"/>
                          <w:sz w:val="16"/>
                        </w:rPr>
                        <w:t xml:space="preserve"> [as mentioned earlier – what is our position on whether reporting should include non-NLTF too, considering Crown investments aren’t always influenced by GPS?]</w:t>
                      </w:r>
                    </w:p>
                  </w:txbxContent>
                </v:textbox>
                <w10:wrap type="tight" anchorx="margin"/>
              </v:shape>
            </w:pict>
          </mc:Fallback>
        </mc:AlternateContent>
      </w:r>
      <w:r w:rsidR="00E1047E" w:rsidRPr="00E1047E">
        <w:rPr>
          <w:rStyle w:val="Strong"/>
          <w:rFonts w:asciiTheme="minorHAnsi" w:hAnsiTheme="minorHAnsi" w:cstheme="minorHAnsi"/>
          <w:b/>
          <w:bCs/>
          <w:color w:val="B4D012"/>
        </w:rPr>
        <w:t>Network resilience</w:t>
      </w:r>
      <w:r w:rsidR="00665E85">
        <w:t xml:space="preserve"> </w:t>
      </w:r>
    </w:p>
    <w:tbl>
      <w:tblPr>
        <w:tblStyle w:val="GridTable4-Accent4"/>
        <w:tblW w:w="5000" w:type="pct"/>
        <w:tblLook w:val="04A0" w:firstRow="1" w:lastRow="0" w:firstColumn="1" w:lastColumn="0" w:noHBand="0" w:noVBand="1"/>
      </w:tblPr>
      <w:tblGrid>
        <w:gridCol w:w="2009"/>
        <w:gridCol w:w="2520"/>
        <w:gridCol w:w="1441"/>
        <w:gridCol w:w="1441"/>
        <w:gridCol w:w="1441"/>
        <w:gridCol w:w="1604"/>
      </w:tblGrid>
      <w:tr w:rsidR="00754C13" w14:paraId="63DF0515" w14:textId="77777777" w:rsidTr="00754C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 w:type="pct"/>
            <w:tcBorders>
              <w:top w:val="single" w:sz="4" w:space="0" w:color="B4D012"/>
              <w:left w:val="single" w:sz="4" w:space="0" w:color="B4D012"/>
              <w:bottom w:val="single" w:sz="4" w:space="0" w:color="B4D012"/>
              <w:right w:val="single" w:sz="4" w:space="0" w:color="B4D012"/>
            </w:tcBorders>
            <w:shd w:val="clear" w:color="auto" w:fill="B4D012"/>
          </w:tcPr>
          <w:p w14:paraId="2167B2DB" w14:textId="77777777" w:rsidR="00754C13" w:rsidRPr="009766A7" w:rsidRDefault="00754C13" w:rsidP="003B42C9">
            <w:pPr>
              <w:pStyle w:val="BodyText"/>
            </w:pPr>
          </w:p>
        </w:tc>
        <w:tc>
          <w:tcPr>
            <w:tcW w:w="1205" w:type="pct"/>
            <w:tcBorders>
              <w:top w:val="single" w:sz="4" w:space="0" w:color="B4D012"/>
              <w:left w:val="single" w:sz="4" w:space="0" w:color="B4D012"/>
              <w:bottom w:val="single" w:sz="4" w:space="0" w:color="B4D012"/>
              <w:right w:val="single" w:sz="4" w:space="0" w:color="B4D012"/>
            </w:tcBorders>
            <w:shd w:val="clear" w:color="auto" w:fill="B4D012"/>
          </w:tcPr>
          <w:p w14:paraId="22452E70" w14:textId="77777777" w:rsidR="00754C13" w:rsidRPr="009766A7" w:rsidRDefault="00754C13" w:rsidP="003B42C9">
            <w:pPr>
              <w:pStyle w:val="BodyText"/>
              <w:jc w:val="center"/>
              <w:cnfStyle w:val="100000000000" w:firstRow="1" w:lastRow="0" w:firstColumn="0" w:lastColumn="0" w:oddVBand="0" w:evenVBand="0" w:oddHBand="0" w:evenHBand="0" w:firstRowFirstColumn="0" w:firstRowLastColumn="0" w:lastRowFirstColumn="0" w:lastRowLastColumn="0"/>
            </w:pPr>
            <w:r w:rsidRPr="009766A7">
              <w:t>2015/16</w:t>
            </w:r>
          </w:p>
        </w:tc>
        <w:tc>
          <w:tcPr>
            <w:tcW w:w="689" w:type="pct"/>
            <w:tcBorders>
              <w:top w:val="single" w:sz="4" w:space="0" w:color="B4D012"/>
              <w:left w:val="single" w:sz="4" w:space="0" w:color="B4D012"/>
              <w:bottom w:val="single" w:sz="4" w:space="0" w:color="B4D012"/>
              <w:right w:val="single" w:sz="4" w:space="0" w:color="B4D012"/>
            </w:tcBorders>
            <w:shd w:val="clear" w:color="auto" w:fill="B4D012"/>
          </w:tcPr>
          <w:p w14:paraId="53133EFA" w14:textId="187C69FE" w:rsidR="00754C13" w:rsidRPr="009766A7" w:rsidRDefault="00754C13" w:rsidP="003B42C9">
            <w:pPr>
              <w:pStyle w:val="BodyText"/>
              <w:jc w:val="center"/>
              <w:cnfStyle w:val="100000000000" w:firstRow="1" w:lastRow="0" w:firstColumn="0" w:lastColumn="0" w:oddVBand="0" w:evenVBand="0" w:oddHBand="0" w:evenHBand="0" w:firstRowFirstColumn="0" w:firstRowLastColumn="0" w:lastRowFirstColumn="0" w:lastRowLastColumn="0"/>
            </w:pPr>
            <w:r w:rsidRPr="009766A7">
              <w:t>2016/17</w:t>
            </w:r>
          </w:p>
        </w:tc>
        <w:tc>
          <w:tcPr>
            <w:tcW w:w="689" w:type="pct"/>
            <w:tcBorders>
              <w:top w:val="single" w:sz="4" w:space="0" w:color="B4D012"/>
              <w:left w:val="single" w:sz="4" w:space="0" w:color="B4D012"/>
              <w:bottom w:val="single" w:sz="4" w:space="0" w:color="B4D012"/>
              <w:right w:val="single" w:sz="4" w:space="0" w:color="B4D012"/>
            </w:tcBorders>
            <w:shd w:val="clear" w:color="auto" w:fill="B4D012"/>
          </w:tcPr>
          <w:p w14:paraId="2463D0D1" w14:textId="77777777" w:rsidR="00754C13" w:rsidRPr="009766A7" w:rsidRDefault="00754C13" w:rsidP="003B42C9">
            <w:pPr>
              <w:pStyle w:val="BodyText"/>
              <w:jc w:val="center"/>
              <w:cnfStyle w:val="100000000000" w:firstRow="1" w:lastRow="0" w:firstColumn="0" w:lastColumn="0" w:oddVBand="0" w:evenVBand="0" w:oddHBand="0" w:evenHBand="0" w:firstRowFirstColumn="0" w:firstRowLastColumn="0" w:lastRowFirstColumn="0" w:lastRowLastColumn="0"/>
            </w:pPr>
            <w:r w:rsidRPr="009766A7">
              <w:t>2017/18</w:t>
            </w:r>
          </w:p>
        </w:tc>
        <w:tc>
          <w:tcPr>
            <w:tcW w:w="689" w:type="pct"/>
            <w:tcBorders>
              <w:top w:val="single" w:sz="4" w:space="0" w:color="B4D012"/>
              <w:left w:val="single" w:sz="4" w:space="0" w:color="B4D012"/>
              <w:bottom w:val="single" w:sz="4" w:space="0" w:color="B4D012"/>
              <w:right w:val="single" w:sz="4" w:space="0" w:color="B4D012"/>
            </w:tcBorders>
            <w:shd w:val="clear" w:color="auto" w:fill="B4D012"/>
          </w:tcPr>
          <w:p w14:paraId="244EAD28" w14:textId="77777777" w:rsidR="00754C13" w:rsidRPr="009766A7" w:rsidRDefault="00754C13" w:rsidP="003B42C9">
            <w:pPr>
              <w:pStyle w:val="BodyText"/>
              <w:jc w:val="center"/>
              <w:cnfStyle w:val="100000000000" w:firstRow="1" w:lastRow="0" w:firstColumn="0" w:lastColumn="0" w:oddVBand="0" w:evenVBand="0" w:oddHBand="0" w:evenHBand="0" w:firstRowFirstColumn="0" w:firstRowLastColumn="0" w:lastRowFirstColumn="0" w:lastRowLastColumn="0"/>
            </w:pPr>
            <w:r w:rsidRPr="009766A7">
              <w:t>2018/19</w:t>
            </w:r>
          </w:p>
        </w:tc>
        <w:tc>
          <w:tcPr>
            <w:tcW w:w="767" w:type="pct"/>
            <w:tcBorders>
              <w:top w:val="single" w:sz="4" w:space="0" w:color="B4D012"/>
              <w:left w:val="single" w:sz="4" w:space="0" w:color="B4D012"/>
              <w:bottom w:val="single" w:sz="4" w:space="0" w:color="B4D012"/>
              <w:right w:val="single" w:sz="4" w:space="0" w:color="B4D012"/>
            </w:tcBorders>
            <w:shd w:val="clear" w:color="auto" w:fill="B4D012"/>
          </w:tcPr>
          <w:p w14:paraId="79559917" w14:textId="77777777" w:rsidR="00754C13" w:rsidRPr="009766A7" w:rsidRDefault="00754C13" w:rsidP="003B42C9">
            <w:pPr>
              <w:pStyle w:val="BodyText"/>
              <w:jc w:val="center"/>
              <w:cnfStyle w:val="100000000000" w:firstRow="1" w:lastRow="0" w:firstColumn="0" w:lastColumn="0" w:oddVBand="0" w:evenVBand="0" w:oddHBand="0" w:evenHBand="0" w:firstRowFirstColumn="0" w:firstRowLastColumn="0" w:lastRowFirstColumn="0" w:lastRowLastColumn="0"/>
            </w:pPr>
            <w:r w:rsidRPr="009766A7">
              <w:t>2019/20</w:t>
            </w:r>
          </w:p>
        </w:tc>
      </w:tr>
      <w:tr w:rsidR="00754C13" w14:paraId="6376D1B8" w14:textId="77777777" w:rsidTr="00754C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 w:type="pct"/>
            <w:tcBorders>
              <w:top w:val="single" w:sz="4" w:space="0" w:color="B4D012"/>
              <w:left w:val="single" w:sz="4" w:space="0" w:color="B4D012"/>
              <w:bottom w:val="single" w:sz="4" w:space="0" w:color="B4D012"/>
              <w:right w:val="single" w:sz="4" w:space="0" w:color="B4D012"/>
            </w:tcBorders>
            <w:shd w:val="clear" w:color="auto" w:fill="EDF8AA"/>
          </w:tcPr>
          <w:p w14:paraId="7DD2EF09" w14:textId="03F3E63E" w:rsidR="00754C13" w:rsidRPr="009766A7" w:rsidRDefault="00754C13" w:rsidP="00754C13">
            <w:pPr>
              <w:rPr>
                <w:rFonts w:eastAsia="Times New Roman"/>
                <w:b w:val="0"/>
                <w:color w:val="000000"/>
                <w:szCs w:val="20"/>
                <w:lang w:eastAsia="en-NZ"/>
              </w:rPr>
            </w:pPr>
            <w:r w:rsidRPr="009766A7">
              <w:rPr>
                <w:b w:val="0"/>
                <w:szCs w:val="20"/>
              </w:rPr>
              <w:t xml:space="preserve">Investment in:  Resilience (proxy for percentage of business cases that include resilience) </w:t>
            </w:r>
          </w:p>
        </w:tc>
        <w:tc>
          <w:tcPr>
            <w:tcW w:w="1205" w:type="pct"/>
            <w:tcBorders>
              <w:top w:val="single" w:sz="4" w:space="0" w:color="B4D012"/>
              <w:left w:val="single" w:sz="4" w:space="0" w:color="B4D012"/>
              <w:bottom w:val="single" w:sz="4" w:space="0" w:color="B4D012"/>
              <w:right w:val="single" w:sz="4" w:space="0" w:color="B4D012"/>
            </w:tcBorders>
            <w:shd w:val="clear" w:color="auto" w:fill="EDF8AA"/>
          </w:tcPr>
          <w:p w14:paraId="20292881" w14:textId="77777777" w:rsidR="00754C13" w:rsidRPr="009766A7" w:rsidRDefault="00754C13" w:rsidP="00754C13">
            <w:pPr>
              <w:pStyle w:val="BodyText"/>
              <w:ind w:right="-28"/>
              <w:jc w:val="center"/>
              <w:cnfStyle w:val="000000100000" w:firstRow="0" w:lastRow="0" w:firstColumn="0" w:lastColumn="0" w:oddVBand="0" w:evenVBand="0" w:oddHBand="1" w:evenHBand="0" w:firstRowFirstColumn="0" w:firstRowLastColumn="0" w:lastRowFirstColumn="0" w:lastRowLastColumn="0"/>
              <w:rPr>
                <w:lang w:val="en-US" w:eastAsia="en-US"/>
              </w:rPr>
            </w:pPr>
            <w:r w:rsidRPr="009766A7">
              <w:rPr>
                <w:lang w:val="en-US" w:eastAsia="en-US"/>
              </w:rPr>
              <w:t>7,840,769</w:t>
            </w:r>
          </w:p>
        </w:tc>
        <w:tc>
          <w:tcPr>
            <w:tcW w:w="689" w:type="pct"/>
            <w:tcBorders>
              <w:top w:val="single" w:sz="4" w:space="0" w:color="B4D012"/>
              <w:left w:val="single" w:sz="4" w:space="0" w:color="B4D012"/>
              <w:bottom w:val="single" w:sz="4" w:space="0" w:color="B4D012"/>
              <w:right w:val="single" w:sz="4" w:space="0" w:color="B4D012"/>
            </w:tcBorders>
            <w:shd w:val="clear" w:color="auto" w:fill="EDF8AA"/>
          </w:tcPr>
          <w:p w14:paraId="660396A2" w14:textId="742A1D2C" w:rsidR="00754C13" w:rsidRPr="009766A7" w:rsidRDefault="00754C13" w:rsidP="00754C13">
            <w:pPr>
              <w:pStyle w:val="BodyText"/>
              <w:ind w:right="-28"/>
              <w:jc w:val="center"/>
              <w:cnfStyle w:val="000000100000" w:firstRow="0" w:lastRow="0" w:firstColumn="0" w:lastColumn="0" w:oddVBand="0" w:evenVBand="0" w:oddHBand="1" w:evenHBand="0" w:firstRowFirstColumn="0" w:firstRowLastColumn="0" w:lastRowFirstColumn="0" w:lastRowLastColumn="0"/>
              <w:rPr>
                <w:lang w:val="en-US" w:eastAsia="en-US"/>
              </w:rPr>
            </w:pPr>
            <w:r w:rsidRPr="009766A7">
              <w:rPr>
                <w:lang w:val="en-US" w:eastAsia="en-US"/>
              </w:rPr>
              <w:t>10,225,681</w:t>
            </w:r>
          </w:p>
        </w:tc>
        <w:tc>
          <w:tcPr>
            <w:tcW w:w="689" w:type="pct"/>
            <w:tcBorders>
              <w:top w:val="single" w:sz="4" w:space="0" w:color="B4D012"/>
              <w:left w:val="single" w:sz="4" w:space="0" w:color="B4D012"/>
              <w:bottom w:val="single" w:sz="4" w:space="0" w:color="B4D012"/>
              <w:right w:val="single" w:sz="4" w:space="0" w:color="B4D012"/>
            </w:tcBorders>
            <w:shd w:val="clear" w:color="auto" w:fill="EDF8AA"/>
          </w:tcPr>
          <w:p w14:paraId="32B6A06A" w14:textId="77777777" w:rsidR="00754C13" w:rsidRPr="009766A7" w:rsidRDefault="00754C13" w:rsidP="00754C13">
            <w:pPr>
              <w:pStyle w:val="BodyText"/>
              <w:ind w:right="-28"/>
              <w:jc w:val="center"/>
              <w:cnfStyle w:val="000000100000" w:firstRow="0" w:lastRow="0" w:firstColumn="0" w:lastColumn="0" w:oddVBand="0" w:evenVBand="0" w:oddHBand="1" w:evenHBand="0" w:firstRowFirstColumn="0" w:firstRowLastColumn="0" w:lastRowFirstColumn="0" w:lastRowLastColumn="0"/>
              <w:rPr>
                <w:lang w:val="en-US" w:eastAsia="en-US"/>
              </w:rPr>
            </w:pPr>
            <w:r w:rsidRPr="009766A7">
              <w:rPr>
                <w:lang w:val="en-US" w:eastAsia="en-US"/>
              </w:rPr>
              <w:t>8,207,728</w:t>
            </w:r>
          </w:p>
        </w:tc>
        <w:tc>
          <w:tcPr>
            <w:tcW w:w="689" w:type="pct"/>
            <w:tcBorders>
              <w:top w:val="single" w:sz="4" w:space="0" w:color="B4D012"/>
              <w:left w:val="single" w:sz="4" w:space="0" w:color="B4D012"/>
              <w:bottom w:val="single" w:sz="4" w:space="0" w:color="B4D012"/>
              <w:right w:val="single" w:sz="4" w:space="0" w:color="B4D012"/>
            </w:tcBorders>
            <w:shd w:val="clear" w:color="auto" w:fill="EDF8AA"/>
          </w:tcPr>
          <w:p w14:paraId="2334DB00" w14:textId="77777777" w:rsidR="00754C13" w:rsidRPr="009766A7" w:rsidRDefault="00754C13" w:rsidP="00754C13">
            <w:pPr>
              <w:pStyle w:val="BodyText"/>
              <w:ind w:right="-28"/>
              <w:jc w:val="center"/>
              <w:cnfStyle w:val="000000100000" w:firstRow="0" w:lastRow="0" w:firstColumn="0" w:lastColumn="0" w:oddVBand="0" w:evenVBand="0" w:oddHBand="1" w:evenHBand="0" w:firstRowFirstColumn="0" w:firstRowLastColumn="0" w:lastRowFirstColumn="0" w:lastRowLastColumn="0"/>
              <w:rPr>
                <w:lang w:val="en-US" w:eastAsia="en-US"/>
              </w:rPr>
            </w:pPr>
            <w:r w:rsidRPr="009766A7">
              <w:rPr>
                <w:lang w:val="en-US" w:eastAsia="en-US"/>
              </w:rPr>
              <w:t>25,538,267</w:t>
            </w:r>
          </w:p>
        </w:tc>
        <w:tc>
          <w:tcPr>
            <w:tcW w:w="767" w:type="pct"/>
            <w:tcBorders>
              <w:top w:val="single" w:sz="4" w:space="0" w:color="B4D012"/>
              <w:left w:val="single" w:sz="4" w:space="0" w:color="B4D012"/>
              <w:bottom w:val="single" w:sz="4" w:space="0" w:color="B4D012"/>
              <w:right w:val="single" w:sz="4" w:space="0" w:color="B4D012"/>
            </w:tcBorders>
            <w:shd w:val="clear" w:color="auto" w:fill="EDF8AA"/>
          </w:tcPr>
          <w:p w14:paraId="3DC25655" w14:textId="77777777" w:rsidR="00754C13" w:rsidRPr="009766A7" w:rsidRDefault="00754C13" w:rsidP="00754C13">
            <w:pPr>
              <w:pStyle w:val="BodyText"/>
              <w:ind w:right="-28"/>
              <w:jc w:val="center"/>
              <w:cnfStyle w:val="000000100000" w:firstRow="0" w:lastRow="0" w:firstColumn="0" w:lastColumn="0" w:oddVBand="0" w:evenVBand="0" w:oddHBand="1" w:evenHBand="0" w:firstRowFirstColumn="0" w:firstRowLastColumn="0" w:lastRowFirstColumn="0" w:lastRowLastColumn="0"/>
              <w:rPr>
                <w:lang w:val="en-US" w:eastAsia="en-US"/>
              </w:rPr>
            </w:pPr>
            <w:r w:rsidRPr="009766A7">
              <w:rPr>
                <w:lang w:val="en-US" w:eastAsia="en-US"/>
              </w:rPr>
              <w:t>43,026,534</w:t>
            </w:r>
          </w:p>
        </w:tc>
      </w:tr>
      <w:tr w:rsidR="003B42C9" w14:paraId="76787EE2" w14:textId="77777777" w:rsidTr="000A6A59">
        <w:tc>
          <w:tcPr>
            <w:cnfStyle w:val="001000000000" w:firstRow="0" w:lastRow="0" w:firstColumn="1" w:lastColumn="0" w:oddVBand="0" w:evenVBand="0" w:oddHBand="0" w:evenHBand="0" w:firstRowFirstColumn="0" w:firstRowLastColumn="0" w:lastRowFirstColumn="0" w:lastRowLastColumn="0"/>
            <w:tcW w:w="961" w:type="pct"/>
            <w:tcBorders>
              <w:top w:val="single" w:sz="4" w:space="0" w:color="B4D012"/>
              <w:left w:val="single" w:sz="4" w:space="0" w:color="B4D012"/>
              <w:bottom w:val="single" w:sz="4" w:space="0" w:color="B4D012"/>
              <w:right w:val="single" w:sz="4" w:space="0" w:color="B4D012"/>
            </w:tcBorders>
            <w:shd w:val="clear" w:color="auto" w:fill="auto"/>
          </w:tcPr>
          <w:p w14:paraId="2CB5E43B" w14:textId="77777777" w:rsidR="003B42C9" w:rsidRPr="009766A7" w:rsidRDefault="003B42C9" w:rsidP="003B42C9">
            <w:pPr>
              <w:rPr>
                <w:rFonts w:eastAsia="Times New Roman"/>
                <w:b w:val="0"/>
                <w:color w:val="000000"/>
                <w:szCs w:val="20"/>
                <w:lang w:eastAsia="en-NZ"/>
              </w:rPr>
            </w:pPr>
            <w:r w:rsidRPr="009766A7">
              <w:rPr>
                <w:b w:val="0"/>
                <w:szCs w:val="20"/>
              </w:rPr>
              <w:t>Number of projects</w:t>
            </w:r>
          </w:p>
        </w:tc>
        <w:tc>
          <w:tcPr>
            <w:tcW w:w="1205" w:type="pct"/>
            <w:tcBorders>
              <w:top w:val="single" w:sz="4" w:space="0" w:color="B4D012"/>
              <w:left w:val="single" w:sz="4" w:space="0" w:color="B4D012"/>
              <w:bottom w:val="single" w:sz="4" w:space="0" w:color="B4D012"/>
              <w:right w:val="single" w:sz="4" w:space="0" w:color="B4D012"/>
            </w:tcBorders>
            <w:shd w:val="clear" w:color="auto" w:fill="auto"/>
          </w:tcPr>
          <w:p w14:paraId="59017F80" w14:textId="77777777" w:rsidR="003B42C9" w:rsidRPr="009766A7" w:rsidRDefault="003B42C9" w:rsidP="003B42C9">
            <w:pPr>
              <w:pStyle w:val="BodyText"/>
              <w:ind w:right="-28"/>
              <w:jc w:val="center"/>
              <w:cnfStyle w:val="000000000000" w:firstRow="0" w:lastRow="0" w:firstColumn="0" w:lastColumn="0" w:oddVBand="0" w:evenVBand="0" w:oddHBand="0" w:evenHBand="0" w:firstRowFirstColumn="0" w:firstRowLastColumn="0" w:lastRowFirstColumn="0" w:lastRowLastColumn="0"/>
              <w:rPr>
                <w:lang w:val="en-US" w:eastAsia="en-US"/>
              </w:rPr>
            </w:pPr>
            <w:r w:rsidRPr="009766A7">
              <w:rPr>
                <w:lang w:val="en-US" w:eastAsia="en-US"/>
              </w:rPr>
              <w:t>31</w:t>
            </w:r>
          </w:p>
        </w:tc>
        <w:tc>
          <w:tcPr>
            <w:tcW w:w="689" w:type="pct"/>
            <w:tcBorders>
              <w:top w:val="single" w:sz="4" w:space="0" w:color="B4D012"/>
              <w:left w:val="single" w:sz="4" w:space="0" w:color="B4D012"/>
              <w:bottom w:val="single" w:sz="4" w:space="0" w:color="B4D012"/>
              <w:right w:val="single" w:sz="4" w:space="0" w:color="B4D012"/>
            </w:tcBorders>
            <w:shd w:val="clear" w:color="auto" w:fill="auto"/>
          </w:tcPr>
          <w:p w14:paraId="29854A10" w14:textId="77777777" w:rsidR="003B42C9" w:rsidRPr="009766A7" w:rsidRDefault="003B42C9" w:rsidP="003B42C9">
            <w:pPr>
              <w:pStyle w:val="BodyText"/>
              <w:ind w:right="-28"/>
              <w:jc w:val="center"/>
              <w:cnfStyle w:val="000000000000" w:firstRow="0" w:lastRow="0" w:firstColumn="0" w:lastColumn="0" w:oddVBand="0" w:evenVBand="0" w:oddHBand="0" w:evenHBand="0" w:firstRowFirstColumn="0" w:firstRowLastColumn="0" w:lastRowFirstColumn="0" w:lastRowLastColumn="0"/>
              <w:rPr>
                <w:lang w:val="en-US" w:eastAsia="en-US"/>
              </w:rPr>
            </w:pPr>
            <w:r w:rsidRPr="009766A7">
              <w:rPr>
                <w:lang w:val="en-US" w:eastAsia="en-US"/>
              </w:rPr>
              <w:t>29</w:t>
            </w:r>
          </w:p>
        </w:tc>
        <w:tc>
          <w:tcPr>
            <w:tcW w:w="689" w:type="pct"/>
            <w:tcBorders>
              <w:top w:val="single" w:sz="4" w:space="0" w:color="B4D012"/>
              <w:left w:val="single" w:sz="4" w:space="0" w:color="B4D012"/>
              <w:bottom w:val="single" w:sz="4" w:space="0" w:color="B4D012"/>
              <w:right w:val="single" w:sz="4" w:space="0" w:color="B4D012"/>
            </w:tcBorders>
            <w:shd w:val="clear" w:color="auto" w:fill="auto"/>
          </w:tcPr>
          <w:p w14:paraId="79770540" w14:textId="77777777" w:rsidR="003B42C9" w:rsidRPr="009766A7" w:rsidRDefault="003B42C9" w:rsidP="003B42C9">
            <w:pPr>
              <w:pStyle w:val="BodyText"/>
              <w:ind w:right="-28"/>
              <w:jc w:val="center"/>
              <w:cnfStyle w:val="000000000000" w:firstRow="0" w:lastRow="0" w:firstColumn="0" w:lastColumn="0" w:oddVBand="0" w:evenVBand="0" w:oddHBand="0" w:evenHBand="0" w:firstRowFirstColumn="0" w:firstRowLastColumn="0" w:lastRowFirstColumn="0" w:lastRowLastColumn="0"/>
              <w:rPr>
                <w:lang w:val="en-US" w:eastAsia="en-US"/>
              </w:rPr>
            </w:pPr>
            <w:r w:rsidRPr="009766A7">
              <w:rPr>
                <w:lang w:val="en-US" w:eastAsia="en-US"/>
              </w:rPr>
              <w:t>28</w:t>
            </w:r>
          </w:p>
        </w:tc>
        <w:tc>
          <w:tcPr>
            <w:tcW w:w="689" w:type="pct"/>
            <w:tcBorders>
              <w:top w:val="single" w:sz="4" w:space="0" w:color="B4D012"/>
              <w:left w:val="single" w:sz="4" w:space="0" w:color="B4D012"/>
              <w:bottom w:val="single" w:sz="4" w:space="0" w:color="B4D012"/>
              <w:right w:val="single" w:sz="4" w:space="0" w:color="B4D012"/>
            </w:tcBorders>
            <w:shd w:val="clear" w:color="auto" w:fill="auto"/>
          </w:tcPr>
          <w:p w14:paraId="6611665A" w14:textId="77777777" w:rsidR="003B42C9" w:rsidRPr="009766A7" w:rsidRDefault="003B42C9" w:rsidP="003B42C9">
            <w:pPr>
              <w:pStyle w:val="BodyText"/>
              <w:ind w:right="-28"/>
              <w:jc w:val="center"/>
              <w:cnfStyle w:val="000000000000" w:firstRow="0" w:lastRow="0" w:firstColumn="0" w:lastColumn="0" w:oddVBand="0" w:evenVBand="0" w:oddHBand="0" w:evenHBand="0" w:firstRowFirstColumn="0" w:firstRowLastColumn="0" w:lastRowFirstColumn="0" w:lastRowLastColumn="0"/>
              <w:rPr>
                <w:lang w:val="en-US" w:eastAsia="en-US"/>
              </w:rPr>
            </w:pPr>
            <w:r w:rsidRPr="009766A7">
              <w:rPr>
                <w:lang w:val="en-US" w:eastAsia="en-US"/>
              </w:rPr>
              <w:t>19</w:t>
            </w:r>
          </w:p>
        </w:tc>
        <w:tc>
          <w:tcPr>
            <w:tcW w:w="767" w:type="pct"/>
            <w:tcBorders>
              <w:top w:val="single" w:sz="4" w:space="0" w:color="B4D012"/>
              <w:left w:val="single" w:sz="4" w:space="0" w:color="B4D012"/>
              <w:bottom w:val="single" w:sz="4" w:space="0" w:color="B4D012"/>
              <w:right w:val="single" w:sz="4" w:space="0" w:color="B4D012"/>
            </w:tcBorders>
            <w:shd w:val="clear" w:color="auto" w:fill="auto"/>
          </w:tcPr>
          <w:p w14:paraId="44907F82" w14:textId="77777777" w:rsidR="003B42C9" w:rsidRPr="009766A7" w:rsidRDefault="003B42C9" w:rsidP="003B42C9">
            <w:pPr>
              <w:pStyle w:val="BodyText"/>
              <w:ind w:right="-28"/>
              <w:jc w:val="center"/>
              <w:cnfStyle w:val="000000000000" w:firstRow="0" w:lastRow="0" w:firstColumn="0" w:lastColumn="0" w:oddVBand="0" w:evenVBand="0" w:oddHBand="0" w:evenHBand="0" w:firstRowFirstColumn="0" w:firstRowLastColumn="0" w:lastRowFirstColumn="0" w:lastRowLastColumn="0"/>
              <w:rPr>
                <w:lang w:val="en-US" w:eastAsia="en-US"/>
              </w:rPr>
            </w:pPr>
            <w:r w:rsidRPr="009766A7">
              <w:rPr>
                <w:lang w:val="en-US" w:eastAsia="en-US"/>
              </w:rPr>
              <w:t>15</w:t>
            </w:r>
          </w:p>
        </w:tc>
      </w:tr>
    </w:tbl>
    <w:p w14:paraId="07A88A15" w14:textId="41924874" w:rsidR="00754C13" w:rsidRDefault="00754C13" w:rsidP="00E1047E">
      <w:pPr>
        <w:pStyle w:val="Heading1"/>
        <w:ind w:left="0"/>
        <w:rPr>
          <w:rStyle w:val="Strong"/>
          <w:rFonts w:asciiTheme="minorHAnsi" w:hAnsiTheme="minorHAnsi" w:cstheme="minorHAnsi"/>
          <w:b/>
          <w:bCs/>
          <w:color w:val="B4D012"/>
        </w:rPr>
      </w:pPr>
    </w:p>
    <w:p w14:paraId="67C60358" w14:textId="472AF231" w:rsidR="00E1047E" w:rsidRPr="00331F5E" w:rsidRDefault="00E1047E" w:rsidP="00E1047E">
      <w:pPr>
        <w:pStyle w:val="Heading3"/>
        <w:spacing w:before="120" w:after="120"/>
        <w:rPr>
          <w:b/>
          <w:color w:val="B4D012"/>
        </w:rPr>
      </w:pPr>
      <w:r>
        <w:rPr>
          <w:b/>
          <w:color w:val="B4D012"/>
        </w:rPr>
        <w:t xml:space="preserve">Length of state highway infrastructure susceptible to coastal inundation with sea level rise (km) </w:t>
      </w:r>
    </w:p>
    <w:p w14:paraId="327B3E41" w14:textId="7399CD48" w:rsidR="00E1047E" w:rsidRPr="00CD254D" w:rsidRDefault="00E1047E" w:rsidP="00E1047E">
      <w:pPr>
        <w:pStyle w:val="BodyText"/>
        <w:spacing w:before="120" w:after="120"/>
        <w:rPr>
          <w:bCs/>
        </w:rPr>
      </w:pPr>
      <w:r w:rsidRPr="00BA0BD0">
        <w:rPr>
          <w:bCs/>
        </w:rPr>
        <w:t>Sea level rise exposure of the state highway network is estimated between 0.2% and 4% of the total network nationally (equivalent to 20.98km to 478.81km) across four hazard exposure scenarios. Regions with greatest exposure include the Bay of Plenty, Waikato, Canterbur</w:t>
      </w:r>
      <w:r>
        <w:rPr>
          <w:bCs/>
        </w:rPr>
        <w:t>y and Auckland regions.</w:t>
      </w:r>
    </w:p>
    <w:p w14:paraId="3D10240C" w14:textId="3EB5E45D" w:rsidR="00315664" w:rsidRDefault="00315664" w:rsidP="00E1047E">
      <w:r>
        <w:rPr>
          <w:noProof/>
          <w:lang w:eastAsia="en-NZ"/>
        </w:rPr>
        <w:drawing>
          <wp:anchor distT="0" distB="0" distL="114300" distR="114300" simplePos="0" relativeHeight="251702272" behindDoc="1" locked="0" layoutInCell="1" allowOverlap="1" wp14:anchorId="38A6FAE6" wp14:editId="437494BB">
            <wp:simplePos x="0" y="0"/>
            <wp:positionH relativeFrom="column">
              <wp:posOffset>-24847</wp:posOffset>
            </wp:positionH>
            <wp:positionV relativeFrom="paragraph">
              <wp:posOffset>113665</wp:posOffset>
            </wp:positionV>
            <wp:extent cx="6276561" cy="2805430"/>
            <wp:effectExtent l="0" t="0" r="10160" b="13970"/>
            <wp:wrapTight wrapText="bothSides">
              <wp:wrapPolygon edited="0">
                <wp:start x="0" y="0"/>
                <wp:lineTo x="0" y="21561"/>
                <wp:lineTo x="21569" y="21561"/>
                <wp:lineTo x="21569" y="0"/>
                <wp:lineTo x="0" y="0"/>
              </wp:wrapPolygon>
            </wp:wrapTight>
            <wp:docPr id="7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anchor>
        </w:drawing>
      </w:r>
    </w:p>
    <w:p w14:paraId="59740C0F" w14:textId="74F8FC93" w:rsidR="00315664" w:rsidRPr="00315664" w:rsidRDefault="00315664" w:rsidP="00315664"/>
    <w:p w14:paraId="0DCA00F3" w14:textId="77777777" w:rsidR="00315664" w:rsidRPr="00315664" w:rsidRDefault="00315664" w:rsidP="00315664"/>
    <w:p w14:paraId="3D64B5B7" w14:textId="77777777" w:rsidR="00315664" w:rsidRPr="00315664" w:rsidRDefault="00315664" w:rsidP="00315664"/>
    <w:p w14:paraId="0AB7F323" w14:textId="77777777" w:rsidR="00315664" w:rsidRPr="00315664" w:rsidRDefault="00315664" w:rsidP="00315664"/>
    <w:p w14:paraId="2350BC55" w14:textId="6DB82BE0" w:rsidR="00315664" w:rsidRPr="00315664" w:rsidRDefault="00315664" w:rsidP="00315664"/>
    <w:p w14:paraId="56C55716" w14:textId="77777777" w:rsidR="00315664" w:rsidRPr="00315664" w:rsidRDefault="00315664" w:rsidP="00315664"/>
    <w:p w14:paraId="12FEE2AC" w14:textId="77777777" w:rsidR="00315664" w:rsidRPr="00315664" w:rsidRDefault="00315664" w:rsidP="00315664"/>
    <w:p w14:paraId="638E10DD" w14:textId="77777777" w:rsidR="00315664" w:rsidRPr="00315664" w:rsidRDefault="00315664" w:rsidP="00315664"/>
    <w:p w14:paraId="57EF25E8" w14:textId="6C5F6198" w:rsidR="00315664" w:rsidRDefault="00315664" w:rsidP="00315664"/>
    <w:p w14:paraId="222FFF41" w14:textId="39163F7C" w:rsidR="00E1047E" w:rsidRDefault="00E1047E" w:rsidP="00315664"/>
    <w:p w14:paraId="529CB6DF" w14:textId="77777777" w:rsidR="00315664" w:rsidRPr="00665E85" w:rsidRDefault="00315664" w:rsidP="00315664">
      <w:pPr>
        <w:pStyle w:val="Heading3"/>
        <w:spacing w:before="120" w:after="120"/>
        <w:rPr>
          <w:rFonts w:ascii="Arial" w:hAnsi="Arial" w:cs="Arial"/>
          <w:color w:val="auto"/>
          <w:sz w:val="16"/>
          <w:szCs w:val="16"/>
        </w:rPr>
      </w:pPr>
      <w:r w:rsidRPr="00665E85">
        <w:rPr>
          <w:rFonts w:ascii="Arial" w:hAnsi="Arial" w:cs="Arial"/>
          <w:i/>
          <w:color w:val="auto"/>
          <w:sz w:val="16"/>
          <w:szCs w:val="16"/>
        </w:rPr>
        <w:t>Note:</w:t>
      </w:r>
      <w:r w:rsidRPr="00665E85">
        <w:rPr>
          <w:rFonts w:ascii="Arial" w:hAnsi="Arial" w:cs="Arial"/>
          <w:b/>
          <w:color w:val="auto"/>
          <w:sz w:val="16"/>
          <w:szCs w:val="16"/>
        </w:rPr>
        <w:t xml:space="preserve"> </w:t>
      </w:r>
      <w:r w:rsidRPr="00665E85">
        <w:rPr>
          <w:rFonts w:ascii="Arial" w:hAnsi="Arial" w:cs="Arial"/>
          <w:color w:val="auto"/>
          <w:sz w:val="16"/>
          <w:szCs w:val="16"/>
        </w:rPr>
        <w:t xml:space="preserve">This is a proxy measure. </w:t>
      </w:r>
    </w:p>
    <w:p w14:paraId="61206792" w14:textId="77777777" w:rsidR="00315664" w:rsidRPr="00665E85" w:rsidRDefault="00315664" w:rsidP="00315664">
      <w:pPr>
        <w:pStyle w:val="BodyText"/>
        <w:numPr>
          <w:ilvl w:val="0"/>
          <w:numId w:val="5"/>
        </w:numPr>
        <w:spacing w:before="120"/>
        <w:rPr>
          <w:bCs/>
          <w:sz w:val="16"/>
          <w:szCs w:val="16"/>
        </w:rPr>
      </w:pPr>
      <w:r w:rsidRPr="00665E85">
        <w:rPr>
          <w:bCs/>
          <w:sz w:val="16"/>
          <w:szCs w:val="16"/>
        </w:rPr>
        <w:t>Permanent inundation with 0.5 m sea level rise and representative of present-day typical storm</w:t>
      </w:r>
    </w:p>
    <w:p w14:paraId="33322EB9" w14:textId="77777777" w:rsidR="00315664" w:rsidRPr="00665E85" w:rsidRDefault="00315664" w:rsidP="00315664">
      <w:pPr>
        <w:pStyle w:val="BodyText"/>
        <w:numPr>
          <w:ilvl w:val="0"/>
          <w:numId w:val="5"/>
        </w:numPr>
        <w:spacing w:before="120"/>
        <w:rPr>
          <w:bCs/>
          <w:sz w:val="16"/>
          <w:szCs w:val="16"/>
        </w:rPr>
      </w:pPr>
      <w:r w:rsidRPr="00665E85">
        <w:rPr>
          <w:bCs/>
          <w:sz w:val="16"/>
          <w:szCs w:val="16"/>
        </w:rPr>
        <w:t>Permanent inundation with 1.5m sea level rise</w:t>
      </w:r>
    </w:p>
    <w:p w14:paraId="27372B27" w14:textId="77777777" w:rsidR="00315664" w:rsidRPr="00665E85" w:rsidRDefault="00315664" w:rsidP="00315664">
      <w:pPr>
        <w:pStyle w:val="BodyText"/>
        <w:numPr>
          <w:ilvl w:val="0"/>
          <w:numId w:val="5"/>
        </w:numPr>
        <w:spacing w:before="120"/>
        <w:rPr>
          <w:bCs/>
          <w:sz w:val="16"/>
          <w:szCs w:val="16"/>
        </w:rPr>
      </w:pPr>
      <w:r w:rsidRPr="00665E85">
        <w:rPr>
          <w:bCs/>
          <w:sz w:val="16"/>
          <w:szCs w:val="16"/>
        </w:rPr>
        <w:t>Present day 1:100 year storm extent (excludes run-up/overtopping)</w:t>
      </w:r>
    </w:p>
    <w:p w14:paraId="1FF51D72" w14:textId="77777777" w:rsidR="00315664" w:rsidRDefault="00315664" w:rsidP="00315664">
      <w:pPr>
        <w:pStyle w:val="BodyText"/>
        <w:numPr>
          <w:ilvl w:val="0"/>
          <w:numId w:val="5"/>
        </w:numPr>
        <w:spacing w:before="120"/>
        <w:rPr>
          <w:bCs/>
          <w:sz w:val="16"/>
          <w:szCs w:val="16"/>
        </w:rPr>
      </w:pPr>
      <w:r w:rsidRPr="00665E85">
        <w:rPr>
          <w:bCs/>
          <w:sz w:val="16"/>
          <w:szCs w:val="16"/>
        </w:rPr>
        <w:t>Present day 1:100 year storm surge extent (excludes run-up/overt</w:t>
      </w:r>
      <w:r>
        <w:rPr>
          <w:bCs/>
          <w:sz w:val="16"/>
          <w:szCs w:val="16"/>
        </w:rPr>
        <w:t>opping) with 1.5m sea level rise</w:t>
      </w:r>
    </w:p>
    <w:p w14:paraId="258E587B" w14:textId="77777777" w:rsidR="00315664" w:rsidRPr="00315664" w:rsidRDefault="00315664" w:rsidP="00315664"/>
    <w:p w14:paraId="2F43B16F" w14:textId="1CD0E478" w:rsidR="00E1047E" w:rsidRPr="00CD254D" w:rsidRDefault="00315664" w:rsidP="00E1047E">
      <w:r>
        <w:rPr>
          <w:noProof/>
          <w:lang w:eastAsia="en-NZ"/>
        </w:rPr>
        <w:lastRenderedPageBreak/>
        <w:drawing>
          <wp:inline distT="0" distB="0" distL="0" distR="0" wp14:anchorId="14D991C2" wp14:editId="0A0B1908">
            <wp:extent cx="6152322" cy="2977515"/>
            <wp:effectExtent l="0" t="0" r="1270" b="13335"/>
            <wp:docPr id="7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52FAB754" w14:textId="77777777" w:rsidR="00E1047E" w:rsidRPr="00665E85" w:rsidRDefault="00E1047E" w:rsidP="00E1047E">
      <w:pPr>
        <w:pStyle w:val="Heading3"/>
        <w:spacing w:before="120" w:after="120"/>
        <w:rPr>
          <w:rFonts w:ascii="Arial" w:hAnsi="Arial" w:cs="Arial"/>
          <w:color w:val="auto"/>
          <w:sz w:val="16"/>
          <w:szCs w:val="16"/>
        </w:rPr>
      </w:pPr>
      <w:r w:rsidRPr="00665E85">
        <w:rPr>
          <w:rFonts w:ascii="Arial" w:hAnsi="Arial" w:cs="Arial"/>
          <w:i/>
          <w:color w:val="auto"/>
          <w:sz w:val="16"/>
          <w:szCs w:val="16"/>
        </w:rPr>
        <w:t>Note:</w:t>
      </w:r>
      <w:r w:rsidRPr="00665E85">
        <w:rPr>
          <w:rFonts w:ascii="Arial" w:hAnsi="Arial" w:cs="Arial"/>
          <w:b/>
          <w:color w:val="auto"/>
          <w:sz w:val="16"/>
          <w:szCs w:val="16"/>
        </w:rPr>
        <w:t xml:space="preserve"> </w:t>
      </w:r>
      <w:r w:rsidRPr="00665E85">
        <w:rPr>
          <w:rFonts w:ascii="Arial" w:hAnsi="Arial" w:cs="Arial"/>
          <w:color w:val="auto"/>
          <w:sz w:val="16"/>
          <w:szCs w:val="16"/>
        </w:rPr>
        <w:t xml:space="preserve">This is a proxy measure. </w:t>
      </w:r>
    </w:p>
    <w:p w14:paraId="775800B5" w14:textId="77777777" w:rsidR="00E1047E" w:rsidRPr="00665E85" w:rsidRDefault="00E1047E" w:rsidP="00E1047E">
      <w:pPr>
        <w:pStyle w:val="BodyText"/>
        <w:numPr>
          <w:ilvl w:val="0"/>
          <w:numId w:val="5"/>
        </w:numPr>
        <w:spacing w:before="120"/>
        <w:rPr>
          <w:bCs/>
          <w:sz w:val="16"/>
          <w:szCs w:val="16"/>
        </w:rPr>
      </w:pPr>
      <w:r w:rsidRPr="00665E85">
        <w:rPr>
          <w:bCs/>
          <w:sz w:val="16"/>
          <w:szCs w:val="16"/>
        </w:rPr>
        <w:t>Permanent inundation with 0.5 m sea level rise and representative of present-day typical storm</w:t>
      </w:r>
    </w:p>
    <w:p w14:paraId="06200EE0" w14:textId="77777777" w:rsidR="00E1047E" w:rsidRPr="00665E85" w:rsidRDefault="00E1047E" w:rsidP="00E1047E">
      <w:pPr>
        <w:pStyle w:val="BodyText"/>
        <w:numPr>
          <w:ilvl w:val="0"/>
          <w:numId w:val="5"/>
        </w:numPr>
        <w:spacing w:before="120"/>
        <w:rPr>
          <w:bCs/>
          <w:sz w:val="16"/>
          <w:szCs w:val="16"/>
        </w:rPr>
      </w:pPr>
      <w:r w:rsidRPr="00665E85">
        <w:rPr>
          <w:bCs/>
          <w:sz w:val="16"/>
          <w:szCs w:val="16"/>
        </w:rPr>
        <w:t>Permanent inundation with 1.5m sea level rise</w:t>
      </w:r>
    </w:p>
    <w:p w14:paraId="16E7693D" w14:textId="77777777" w:rsidR="00E1047E" w:rsidRPr="00665E85" w:rsidRDefault="00E1047E" w:rsidP="00E1047E">
      <w:pPr>
        <w:pStyle w:val="BodyText"/>
        <w:numPr>
          <w:ilvl w:val="0"/>
          <w:numId w:val="5"/>
        </w:numPr>
        <w:spacing w:before="120"/>
        <w:rPr>
          <w:bCs/>
          <w:sz w:val="16"/>
          <w:szCs w:val="16"/>
        </w:rPr>
      </w:pPr>
      <w:r w:rsidRPr="00665E85">
        <w:rPr>
          <w:bCs/>
          <w:sz w:val="16"/>
          <w:szCs w:val="16"/>
        </w:rPr>
        <w:t>Present day 1:100 year storm extent (excludes run-up/overtopping)</w:t>
      </w:r>
    </w:p>
    <w:tbl>
      <w:tblPr>
        <w:tblpPr w:leftFromText="180" w:rightFromText="180" w:vertAnchor="text" w:horzAnchor="margin" w:tblpY="564"/>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5"/>
      </w:tblGrid>
      <w:tr w:rsidR="00665E85" w:rsidRPr="00BA0BD0" w14:paraId="5F2156DC" w14:textId="77777777" w:rsidTr="00315664">
        <w:trPr>
          <w:trHeight w:val="2259"/>
        </w:trPr>
        <w:tc>
          <w:tcPr>
            <w:tcW w:w="5000" w:type="pct"/>
            <w:shd w:val="clear" w:color="auto" w:fill="D9D9D9" w:themeFill="background1" w:themeFillShade="D9"/>
          </w:tcPr>
          <w:p w14:paraId="46BD1609" w14:textId="77777777" w:rsidR="00665E85" w:rsidRPr="00A26667" w:rsidRDefault="00665E85" w:rsidP="00665E85">
            <w:pPr>
              <w:rPr>
                <w:rFonts w:asciiTheme="minorHAnsi" w:hAnsiTheme="minorHAnsi" w:cstheme="minorHAnsi"/>
                <w:b/>
                <w:sz w:val="16"/>
                <w:szCs w:val="16"/>
              </w:rPr>
            </w:pPr>
            <w:r w:rsidRPr="00A26667">
              <w:rPr>
                <w:rFonts w:asciiTheme="minorHAnsi" w:hAnsiTheme="minorHAnsi" w:cstheme="minorHAnsi"/>
                <w:b/>
                <w:sz w:val="16"/>
                <w:szCs w:val="16"/>
              </w:rPr>
              <w:t>About this indicator:</w:t>
            </w:r>
            <w:r w:rsidR="00581EAD">
              <w:rPr>
                <w:rFonts w:asciiTheme="minorHAnsi" w:hAnsiTheme="minorHAnsi" w:cstheme="minorHAnsi"/>
                <w:b/>
                <w:sz w:val="16"/>
                <w:szCs w:val="16"/>
              </w:rPr>
              <w:t xml:space="preserve"> </w:t>
            </w:r>
            <w:r w:rsidR="00581EAD" w:rsidRPr="00581EAD">
              <w:rPr>
                <w:rFonts w:asciiTheme="minorHAnsi" w:hAnsiTheme="minorHAnsi" w:cstheme="minorHAnsi"/>
                <w:sz w:val="16"/>
                <w:szCs w:val="16"/>
              </w:rPr>
              <w:t>This is a new measure</w:t>
            </w:r>
          </w:p>
          <w:p w14:paraId="5F033F0B" w14:textId="77777777" w:rsidR="00665E85" w:rsidRPr="00A26667" w:rsidRDefault="00665E85" w:rsidP="00665E85">
            <w:pPr>
              <w:pStyle w:val="BodyText"/>
              <w:spacing w:before="120" w:after="120"/>
              <w:rPr>
                <w:rFonts w:asciiTheme="minorHAnsi" w:hAnsiTheme="minorHAnsi" w:cstheme="minorHAnsi"/>
                <w:sz w:val="16"/>
                <w:szCs w:val="16"/>
              </w:rPr>
            </w:pPr>
            <w:r w:rsidRPr="00A26667">
              <w:rPr>
                <w:rFonts w:asciiTheme="minorHAnsi" w:hAnsiTheme="minorHAnsi" w:cstheme="minorHAnsi"/>
                <w:i/>
                <w:sz w:val="16"/>
                <w:szCs w:val="16"/>
              </w:rPr>
              <w:t>Data source</w:t>
            </w:r>
            <w:r w:rsidRPr="00A26667">
              <w:rPr>
                <w:rFonts w:asciiTheme="minorHAnsi" w:hAnsiTheme="minorHAnsi" w:cstheme="minorHAnsi"/>
                <w:sz w:val="16"/>
                <w:szCs w:val="16"/>
              </w:rPr>
              <w:t>: Waka Kotahi. Data was taken from number of sources, compiled into the Tonkin &amp; Taylor Coastal Exposure Assessment – Stage 2 Exposure Assessment to Coastal Hazards report. This report provides the results of the national coastal exposure assessment of Waka Kotahi state highway assets at national and regional levels. Exposure was assessed independently against, firstly, four sea level rise scenarios and, secondly, proximity (50 and 100m) from the coastal edge, before assessing against the combination of the two to understand the compounding exposure on the assets analysed. To analyse the state highway assets, lengths were broken into 10 metre segments. These segments were then overlaid on the hazard extents to gain an understanding of hazard exposure.</w:t>
            </w:r>
          </w:p>
          <w:p w14:paraId="19A4B786" w14:textId="66EF2B13" w:rsidR="00665E85" w:rsidRPr="001C3741" w:rsidRDefault="00665E85" w:rsidP="00E74745">
            <w:pPr>
              <w:pStyle w:val="BodyText"/>
              <w:spacing w:before="120" w:after="120"/>
              <w:rPr>
                <w:rFonts w:eastAsiaTheme="majorEastAsia"/>
                <w:b/>
                <w:color w:val="5B9BD5" w:themeColor="accent1"/>
                <w:sz w:val="32"/>
                <w:szCs w:val="32"/>
              </w:rPr>
            </w:pPr>
            <w:r w:rsidRPr="00A26667">
              <w:rPr>
                <w:rFonts w:asciiTheme="minorHAnsi" w:hAnsiTheme="minorHAnsi" w:cstheme="minorHAnsi"/>
                <w:sz w:val="16"/>
                <w:szCs w:val="16"/>
              </w:rPr>
              <w:t>It is not expected that the input data will change significantly over the short term. However, it is expected that over the medium term (5-10 years) a review of input data baseline for this assessment will be required in order to track changes in hazard exposure of the state highway network or implement re-forecasting based on updated impact of emissions scenarios.</w:t>
            </w:r>
            <w:r w:rsidRPr="00A26667">
              <w:t xml:space="preserve"> </w:t>
            </w:r>
          </w:p>
        </w:tc>
      </w:tr>
    </w:tbl>
    <w:p w14:paraId="1D0E2531" w14:textId="17A335C7" w:rsidR="00E1047E" w:rsidRDefault="00E1047E" w:rsidP="00E1047E">
      <w:pPr>
        <w:pStyle w:val="BodyText"/>
        <w:numPr>
          <w:ilvl w:val="0"/>
          <w:numId w:val="5"/>
        </w:numPr>
        <w:spacing w:before="120"/>
        <w:rPr>
          <w:bCs/>
          <w:sz w:val="16"/>
          <w:szCs w:val="16"/>
        </w:rPr>
      </w:pPr>
      <w:r w:rsidRPr="00665E85">
        <w:rPr>
          <w:bCs/>
          <w:sz w:val="16"/>
          <w:szCs w:val="16"/>
        </w:rPr>
        <w:t>Present day 1:100 year storm surge extent (excludes run-up/overt</w:t>
      </w:r>
      <w:r w:rsidR="00665E85">
        <w:rPr>
          <w:bCs/>
          <w:sz w:val="16"/>
          <w:szCs w:val="16"/>
        </w:rPr>
        <w:t>opping) with 1.5m sea level rise</w:t>
      </w:r>
    </w:p>
    <w:p w14:paraId="6B52CD6F" w14:textId="77777777" w:rsidR="00315664" w:rsidRDefault="00315664" w:rsidP="00315664">
      <w:pPr>
        <w:pStyle w:val="BodyText"/>
        <w:spacing w:before="120"/>
        <w:ind w:left="502"/>
        <w:rPr>
          <w:bCs/>
          <w:sz w:val="16"/>
          <w:szCs w:val="16"/>
        </w:rPr>
      </w:pPr>
    </w:p>
    <w:p w14:paraId="2CCC1E26" w14:textId="77777777" w:rsidR="00315664" w:rsidRPr="00665E85" w:rsidRDefault="00315664" w:rsidP="00315664">
      <w:pPr>
        <w:pStyle w:val="BodyText"/>
        <w:spacing w:before="120"/>
        <w:ind w:left="502"/>
        <w:rPr>
          <w:bCs/>
          <w:sz w:val="16"/>
          <w:szCs w:val="16"/>
        </w:rPr>
      </w:pPr>
    </w:p>
    <w:p w14:paraId="42B59886" w14:textId="77777777" w:rsidR="00665E85" w:rsidRDefault="00665E85" w:rsidP="00DF571E">
      <w:pPr>
        <w:pStyle w:val="Heading3"/>
        <w:spacing w:before="120" w:after="120"/>
        <w:rPr>
          <w:b/>
          <w:color w:val="B4D012"/>
        </w:rPr>
      </w:pPr>
    </w:p>
    <w:p w14:paraId="4BA930B5" w14:textId="77777777" w:rsidR="00DF571E" w:rsidRPr="00331F5E" w:rsidRDefault="00DF571E" w:rsidP="00DF571E">
      <w:pPr>
        <w:pStyle w:val="Heading3"/>
        <w:spacing w:before="120" w:after="120"/>
        <w:rPr>
          <w:b/>
          <w:color w:val="B4D012"/>
        </w:rPr>
      </w:pPr>
      <w:r>
        <w:rPr>
          <w:b/>
          <w:color w:val="B4D012"/>
        </w:rPr>
        <w:t xml:space="preserve">Disruption on the network: </w:t>
      </w:r>
    </w:p>
    <w:p w14:paraId="34BE7C67" w14:textId="77777777" w:rsidR="00E1047E" w:rsidRDefault="00665E85" w:rsidP="00E1047E">
      <w:pPr>
        <w:rPr>
          <w:b/>
        </w:rPr>
      </w:pPr>
      <w:r>
        <w:rPr>
          <w:b/>
        </w:rPr>
        <w:t xml:space="preserve">Summary of results </w:t>
      </w:r>
    </w:p>
    <w:p w14:paraId="0AB73D6F" w14:textId="77777777" w:rsidR="002D5659" w:rsidRPr="002D5659" w:rsidRDefault="002D5659" w:rsidP="002D5659">
      <w:pPr>
        <w:rPr>
          <w:rStyle w:val="Strong"/>
          <w:b w:val="0"/>
        </w:rPr>
      </w:pPr>
      <w:r w:rsidRPr="00DF571E">
        <w:rPr>
          <w:rStyle w:val="Strong"/>
          <w:b w:val="0"/>
        </w:rPr>
        <w:t xml:space="preserve">In 2019/20, </w:t>
      </w:r>
      <w:r>
        <w:rPr>
          <w:rStyle w:val="Strong"/>
          <w:b w:val="0"/>
        </w:rPr>
        <w:t xml:space="preserve">a total of 3,701 hours of unplanned road closures occurred on key freight and tourism routes, with an average closure duration of 7 hours per route. Among these unplanned/unscheduled road closures, Waka Kotahi managed to resolve 81% within standard timeframes (two hours in urban areas and 12 hours in rural areas). This means that 19% of road closures were closed for a longer than typical duration. </w:t>
      </w:r>
      <w:r w:rsidRPr="00DF571E">
        <w:rPr>
          <w:rStyle w:val="Strong"/>
          <w:b w:val="0"/>
        </w:rPr>
        <w:t xml:space="preserve">This </w:t>
      </w:r>
      <w:r w:rsidR="009F6677">
        <w:rPr>
          <w:rStyle w:val="Strong"/>
          <w:b w:val="0"/>
        </w:rPr>
        <w:t>number</w:t>
      </w:r>
      <w:r w:rsidRPr="00DF571E">
        <w:rPr>
          <w:rStyle w:val="Strong"/>
          <w:b w:val="0"/>
        </w:rPr>
        <w:t xml:space="preserve"> has </w:t>
      </w:r>
      <w:r>
        <w:rPr>
          <w:rStyle w:val="Strong"/>
          <w:b w:val="0"/>
        </w:rPr>
        <w:t>remained relatively stable over the p</w:t>
      </w:r>
      <w:r w:rsidRPr="00DF571E">
        <w:rPr>
          <w:rStyle w:val="Strong"/>
          <w:b w:val="0"/>
        </w:rPr>
        <w:t>ast four years</w:t>
      </w:r>
      <w:r w:rsidRPr="00BA0BD0">
        <w:rPr>
          <w:rStyle w:val="Strong"/>
        </w:rPr>
        <w:t>.</w:t>
      </w:r>
    </w:p>
    <w:p w14:paraId="32BC7FC6" w14:textId="6CD500BF" w:rsidR="009F6677" w:rsidRDefault="009F6677" w:rsidP="00E1047E">
      <w:r>
        <w:t xml:space="preserve">Of the total </w:t>
      </w:r>
      <w:r w:rsidRPr="00353C41">
        <w:t>3,995.1km key social and economic corridors across the country, 39% (1,563.7km)</w:t>
      </w:r>
      <w:r>
        <w:t xml:space="preserve"> have viable alternative routes should a disruption or disaster occur. </w:t>
      </w:r>
      <w:r w:rsidRPr="00353C41">
        <w:t>Mapped throughout the network, the result is lower in the South Island compared with the North Island.</w:t>
      </w:r>
      <w:r>
        <w:t xml:space="preserve"> </w:t>
      </w:r>
    </w:p>
    <w:p w14:paraId="047EAE78" w14:textId="77777777" w:rsidR="002D5659" w:rsidRPr="009F6677" w:rsidRDefault="002D5659" w:rsidP="00E1047E"/>
    <w:tbl>
      <w:tblPr>
        <w:tblStyle w:val="TableGrid"/>
        <w:tblW w:w="5000" w:type="pct"/>
        <w:tblLook w:val="04A0" w:firstRow="1" w:lastRow="0" w:firstColumn="1" w:lastColumn="0" w:noHBand="0" w:noVBand="1"/>
      </w:tblPr>
      <w:tblGrid>
        <w:gridCol w:w="7792"/>
        <w:gridCol w:w="2664"/>
      </w:tblGrid>
      <w:tr w:rsidR="00581EAD" w:rsidRPr="00BA0BD0" w14:paraId="2C834A93" w14:textId="77777777" w:rsidTr="00581EAD">
        <w:tc>
          <w:tcPr>
            <w:tcW w:w="3726" w:type="pct"/>
            <w:shd w:val="clear" w:color="auto" w:fill="EDF8AA"/>
          </w:tcPr>
          <w:p w14:paraId="0AF7D56A" w14:textId="77777777" w:rsidR="00581EAD" w:rsidRPr="00BA0BD0" w:rsidRDefault="00581EAD" w:rsidP="008D5FE2">
            <w:pPr>
              <w:keepNext/>
              <w:keepLines/>
              <w:rPr>
                <w:rStyle w:val="Strong"/>
              </w:rPr>
            </w:pPr>
            <w:r>
              <w:rPr>
                <w:noProof/>
                <w:lang w:eastAsia="en-NZ"/>
              </w:rPr>
              <w:lastRenderedPageBreak/>
              <w:drawing>
                <wp:inline distT="0" distB="0" distL="0" distR="0" wp14:anchorId="66836347" wp14:editId="598478FA">
                  <wp:extent cx="4598763" cy="2555240"/>
                  <wp:effectExtent l="0" t="0" r="11430" b="1651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tc>
        <w:tc>
          <w:tcPr>
            <w:tcW w:w="1274" w:type="pct"/>
            <w:shd w:val="clear" w:color="auto" w:fill="EDF8AA"/>
            <w:vAlign w:val="center"/>
          </w:tcPr>
          <w:p w14:paraId="60C2F03D" w14:textId="77777777" w:rsidR="00581EAD" w:rsidRPr="00BA0BD0" w:rsidRDefault="00581EAD" w:rsidP="00964100">
            <w:pPr>
              <w:rPr>
                <w:bCs/>
                <w:color w:val="000000" w:themeColor="text1"/>
              </w:rPr>
            </w:pPr>
            <w:r w:rsidRPr="00DF571E">
              <w:rPr>
                <w:rStyle w:val="Strong"/>
                <w:b w:val="0"/>
              </w:rPr>
              <w:t>In 2019/20, 81% of unplanned/unscheduled road closures were resolved within Waka Kotahi’s standard timeframes (two hours in urban areas and 12 hours in rural areas). This proportion has changed little over the last four years</w:t>
            </w:r>
            <w:r w:rsidRPr="00BA0BD0">
              <w:rPr>
                <w:rStyle w:val="Strong"/>
              </w:rPr>
              <w:t>.</w:t>
            </w:r>
          </w:p>
          <w:p w14:paraId="31873EDC" w14:textId="77777777" w:rsidR="00581EAD" w:rsidRPr="00BA0BD0" w:rsidRDefault="00581EAD" w:rsidP="008D5FE2">
            <w:pPr>
              <w:jc w:val="center"/>
            </w:pPr>
          </w:p>
        </w:tc>
      </w:tr>
      <w:tr w:rsidR="00581EAD" w:rsidRPr="00BA0BD0" w14:paraId="39D39F39" w14:textId="77777777" w:rsidTr="00581EAD">
        <w:tc>
          <w:tcPr>
            <w:tcW w:w="5000" w:type="pct"/>
            <w:gridSpan w:val="2"/>
            <w:shd w:val="clear" w:color="auto" w:fill="D0CECE" w:themeFill="background2" w:themeFillShade="E6"/>
          </w:tcPr>
          <w:p w14:paraId="43D0BC46" w14:textId="6D9E2537" w:rsidR="00581EAD" w:rsidRPr="00A26667" w:rsidRDefault="00581EAD" w:rsidP="00DF571E">
            <w:pPr>
              <w:pStyle w:val="BodyText"/>
              <w:spacing w:before="120" w:after="120"/>
              <w:rPr>
                <w:rStyle w:val="Strong"/>
                <w:rFonts w:asciiTheme="minorHAnsi" w:hAnsiTheme="minorHAnsi" w:cstheme="minorHAnsi"/>
                <w:b w:val="0"/>
                <w:bCs w:val="0"/>
                <w:color w:val="auto"/>
                <w:sz w:val="20"/>
              </w:rPr>
            </w:pPr>
            <w:r w:rsidRPr="00A26667">
              <w:rPr>
                <w:rFonts w:asciiTheme="minorHAnsi" w:hAnsiTheme="minorHAnsi" w:cstheme="minorHAnsi"/>
                <w:i/>
                <w:sz w:val="16"/>
              </w:rPr>
              <w:t>Data source</w:t>
            </w:r>
            <w:r w:rsidRPr="00A26667">
              <w:rPr>
                <w:rFonts w:asciiTheme="minorHAnsi" w:hAnsiTheme="minorHAnsi" w:cstheme="minorHAnsi"/>
                <w:sz w:val="16"/>
              </w:rPr>
              <w:t xml:space="preserve">: Waka Kotahi. This is the sum of all unscheduled road closure incidences during the year (both urban and rural) that have a significant impact on road users addressed within standard protocol and timeframes (that is urban less than 2 hours and rural less than 12 hours), divided by the total number of road closure incidents. Performance against this measure is influenced by the frequency and severity of weather events. </w:t>
            </w:r>
          </w:p>
        </w:tc>
      </w:tr>
      <w:tr w:rsidR="00581EAD" w:rsidRPr="00BA0BD0" w14:paraId="57BFE3B2" w14:textId="77777777" w:rsidTr="00581EAD">
        <w:tc>
          <w:tcPr>
            <w:tcW w:w="3726" w:type="pct"/>
            <w:shd w:val="clear" w:color="auto" w:fill="EDF8AA"/>
          </w:tcPr>
          <w:tbl>
            <w:tblPr>
              <w:tblStyle w:val="GridTable4-Accent1"/>
              <w:tblW w:w="0" w:type="auto"/>
              <w:tblLook w:val="04A0" w:firstRow="1" w:lastRow="0" w:firstColumn="1" w:lastColumn="0" w:noHBand="0" w:noVBand="1"/>
            </w:tblPr>
            <w:tblGrid>
              <w:gridCol w:w="5979"/>
              <w:gridCol w:w="1275"/>
            </w:tblGrid>
            <w:tr w:rsidR="00581EAD" w:rsidRPr="00BA0BD0" w14:paraId="6AA368FF" w14:textId="77777777" w:rsidTr="00581EAD">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5979" w:type="dxa"/>
                  <w:shd w:val="clear" w:color="auto" w:fill="B4D012"/>
                </w:tcPr>
                <w:p w14:paraId="069026BA" w14:textId="77777777" w:rsidR="00581EAD" w:rsidRPr="00BA0BD0" w:rsidRDefault="00581EAD" w:rsidP="008D5FE2">
                  <w:pPr>
                    <w:keepNext/>
                    <w:jc w:val="center"/>
                  </w:pPr>
                </w:p>
              </w:tc>
              <w:tc>
                <w:tcPr>
                  <w:tcW w:w="1275" w:type="dxa"/>
                  <w:shd w:val="clear" w:color="auto" w:fill="B4D012"/>
                </w:tcPr>
                <w:p w14:paraId="632A58F4" w14:textId="77777777" w:rsidR="00581EAD" w:rsidRPr="00BA0BD0" w:rsidRDefault="00581EAD" w:rsidP="008D5FE2">
                  <w:pPr>
                    <w:keepNext/>
                    <w:jc w:val="center"/>
                    <w:cnfStyle w:val="100000000000" w:firstRow="1" w:lastRow="0" w:firstColumn="0" w:lastColumn="0" w:oddVBand="0" w:evenVBand="0" w:oddHBand="0" w:evenHBand="0" w:firstRowFirstColumn="0" w:firstRowLastColumn="0" w:lastRowFirstColumn="0" w:lastRowLastColumn="0"/>
                  </w:pPr>
                  <w:r w:rsidRPr="00BA0BD0">
                    <w:t>2019/20</w:t>
                  </w:r>
                </w:p>
              </w:tc>
            </w:tr>
            <w:tr w:rsidR="00581EAD" w:rsidRPr="00BA0BD0" w14:paraId="1E9E81A5" w14:textId="77777777" w:rsidTr="00581EAD">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979" w:type="dxa"/>
                  <w:shd w:val="clear" w:color="auto" w:fill="FFFFFF" w:themeFill="background1"/>
                </w:tcPr>
                <w:p w14:paraId="19FFEF1B" w14:textId="77777777" w:rsidR="00581EAD" w:rsidRPr="00BA0BD0" w:rsidRDefault="00581EAD" w:rsidP="008D5FE2">
                  <w:pPr>
                    <w:keepNext/>
                    <w:jc w:val="center"/>
                  </w:pPr>
                  <w:r w:rsidRPr="00BA0BD0">
                    <w:rPr>
                      <w:b w:val="0"/>
                      <w:sz w:val="20"/>
                      <w:lang w:val="en-US"/>
                    </w:rPr>
                    <w:t>Predictability of travel times for road vehicles in key routes within metropolitan and high growth areas</w:t>
                  </w:r>
                </w:p>
              </w:tc>
              <w:tc>
                <w:tcPr>
                  <w:tcW w:w="1275" w:type="dxa"/>
                  <w:shd w:val="clear" w:color="auto" w:fill="FFFFFF" w:themeFill="background1"/>
                </w:tcPr>
                <w:p w14:paraId="0A84AAF0" w14:textId="77777777" w:rsidR="00581EAD" w:rsidRPr="00BA0BD0" w:rsidRDefault="00581EAD" w:rsidP="008D5FE2">
                  <w:pPr>
                    <w:keepNext/>
                    <w:spacing w:before="120" w:after="120"/>
                    <w:jc w:val="center"/>
                    <w:cnfStyle w:val="000000100000" w:firstRow="0" w:lastRow="0" w:firstColumn="0" w:lastColumn="0" w:oddVBand="0" w:evenVBand="0" w:oddHBand="1" w:evenHBand="0" w:firstRowFirstColumn="0" w:firstRowLastColumn="0" w:lastRowFirstColumn="0" w:lastRowLastColumn="0"/>
                  </w:pPr>
                  <w:r w:rsidRPr="00BA0BD0">
                    <w:t xml:space="preserve">78% </w:t>
                  </w:r>
                </w:p>
              </w:tc>
            </w:tr>
          </w:tbl>
          <w:p w14:paraId="41E06338" w14:textId="77777777" w:rsidR="00581EAD" w:rsidRPr="00BA0BD0" w:rsidRDefault="00581EAD" w:rsidP="008D5FE2">
            <w:pPr>
              <w:keepNext/>
              <w:keepLines/>
              <w:rPr>
                <w:noProof/>
                <w:lang w:eastAsia="en-NZ"/>
              </w:rPr>
            </w:pPr>
          </w:p>
        </w:tc>
        <w:tc>
          <w:tcPr>
            <w:tcW w:w="1274" w:type="pct"/>
            <w:shd w:val="clear" w:color="auto" w:fill="EDF8AA"/>
          </w:tcPr>
          <w:p w14:paraId="584B31BC" w14:textId="77777777" w:rsidR="00581EAD" w:rsidRPr="00BA0BD0" w:rsidRDefault="00581EAD" w:rsidP="00F9735E">
            <w:r>
              <w:t xml:space="preserve">This is a new indicator. </w:t>
            </w:r>
          </w:p>
        </w:tc>
      </w:tr>
      <w:tr w:rsidR="00581EAD" w:rsidRPr="00BA0BD0" w14:paraId="43389431" w14:textId="77777777" w:rsidTr="00581EAD">
        <w:trPr>
          <w:trHeight w:val="1041"/>
        </w:trPr>
        <w:tc>
          <w:tcPr>
            <w:tcW w:w="5000" w:type="pct"/>
            <w:gridSpan w:val="2"/>
            <w:shd w:val="clear" w:color="auto" w:fill="D0CECE" w:themeFill="background2" w:themeFillShade="E6"/>
          </w:tcPr>
          <w:p w14:paraId="778EFACD" w14:textId="77777777" w:rsidR="00581EAD" w:rsidRPr="00A26667" w:rsidRDefault="00581EAD" w:rsidP="008D5FE2">
            <w:pPr>
              <w:pStyle w:val="BodyText"/>
              <w:spacing w:before="120" w:after="120"/>
              <w:rPr>
                <w:rFonts w:asciiTheme="minorHAnsi" w:hAnsiTheme="minorHAnsi" w:cstheme="minorHAnsi"/>
                <w:sz w:val="16"/>
              </w:rPr>
            </w:pPr>
            <w:r w:rsidRPr="00A26667">
              <w:rPr>
                <w:rFonts w:asciiTheme="minorHAnsi" w:hAnsiTheme="minorHAnsi" w:cstheme="minorHAnsi"/>
                <w:i/>
                <w:sz w:val="16"/>
              </w:rPr>
              <w:t>Data source</w:t>
            </w:r>
            <w:r w:rsidRPr="00A26667">
              <w:rPr>
                <w:rFonts w:asciiTheme="minorHAnsi" w:hAnsiTheme="minorHAnsi" w:cstheme="minorHAnsi"/>
                <w:sz w:val="16"/>
              </w:rPr>
              <w:t>: Waka Kotahi. This was sourced from a predictability analysis of key urban routes based on TomTom data on key urban journeys (am peak, interpeak, and pm peak averaged across urban routes in 2019/20).</w:t>
            </w:r>
          </w:p>
        </w:tc>
      </w:tr>
      <w:tr w:rsidR="00581EAD" w:rsidRPr="00BA0BD0" w14:paraId="21AB16CE" w14:textId="77777777" w:rsidTr="00581EAD">
        <w:trPr>
          <w:trHeight w:val="4431"/>
        </w:trPr>
        <w:tc>
          <w:tcPr>
            <w:tcW w:w="3726" w:type="pct"/>
            <w:shd w:val="clear" w:color="auto" w:fill="EDF8AA"/>
          </w:tcPr>
          <w:p w14:paraId="6C99F03E" w14:textId="77777777" w:rsidR="00581EAD" w:rsidRPr="00BA0BD0" w:rsidRDefault="00581EAD" w:rsidP="008D5FE2">
            <w:pPr>
              <w:keepNext/>
              <w:keepLines/>
              <w:rPr>
                <w:noProof/>
                <w:lang w:eastAsia="en-NZ"/>
              </w:rPr>
            </w:pPr>
            <w:r>
              <w:rPr>
                <w:noProof/>
                <w:lang w:eastAsia="en-NZ"/>
              </w:rPr>
              <w:drawing>
                <wp:inline distT="0" distB="0" distL="0" distR="0" wp14:anchorId="4A21F506" wp14:editId="13C1B7BB">
                  <wp:extent cx="4625526" cy="2747645"/>
                  <wp:effectExtent l="0" t="0" r="3810" b="14605"/>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tc>
        <w:tc>
          <w:tcPr>
            <w:tcW w:w="1274" w:type="pct"/>
            <w:shd w:val="clear" w:color="auto" w:fill="EDF8AA"/>
            <w:vAlign w:val="center"/>
          </w:tcPr>
          <w:p w14:paraId="68A26F8F" w14:textId="77777777" w:rsidR="00581EAD" w:rsidRPr="001C3741" w:rsidRDefault="00581EAD" w:rsidP="00964100">
            <w:r w:rsidRPr="001C3741">
              <w:t>Over the course of this year, predictability has remained high during the winter months but dipped over summer when construction and maintenance activity and travel demand peak.</w:t>
            </w:r>
          </w:p>
          <w:p w14:paraId="3A9EB6AA" w14:textId="77777777" w:rsidR="00581EAD" w:rsidRPr="00BA0BD0" w:rsidRDefault="00581EAD" w:rsidP="00964100">
            <w:pPr>
              <w:rPr>
                <w:b/>
              </w:rPr>
            </w:pPr>
            <w:r w:rsidRPr="001C3741">
              <w:t>Due to reduced travel during the COVID-19 lockdown (March, April and May) predictability was higher than would typically occur, climbing to around 97 percent</w:t>
            </w:r>
            <w:r w:rsidRPr="00BA0BD0">
              <w:t>.</w:t>
            </w:r>
          </w:p>
          <w:p w14:paraId="75D258F1" w14:textId="77777777" w:rsidR="00581EAD" w:rsidRPr="00BA0BD0" w:rsidRDefault="00581EAD" w:rsidP="008D5FE2">
            <w:pPr>
              <w:jc w:val="center"/>
            </w:pPr>
          </w:p>
        </w:tc>
      </w:tr>
      <w:tr w:rsidR="00581EAD" w:rsidRPr="00BA0BD0" w14:paraId="3E093D19" w14:textId="77777777" w:rsidTr="00581EAD">
        <w:tc>
          <w:tcPr>
            <w:tcW w:w="5000" w:type="pct"/>
            <w:gridSpan w:val="2"/>
            <w:shd w:val="clear" w:color="auto" w:fill="D0CECE" w:themeFill="background2" w:themeFillShade="E6"/>
          </w:tcPr>
          <w:p w14:paraId="3B969D0D" w14:textId="77777777" w:rsidR="00581EAD" w:rsidRPr="00A26667" w:rsidRDefault="00581EAD" w:rsidP="008D5FE2">
            <w:pPr>
              <w:rPr>
                <w:rFonts w:asciiTheme="minorHAnsi" w:hAnsiTheme="minorHAnsi" w:cstheme="minorHAnsi"/>
                <w:sz w:val="16"/>
              </w:rPr>
            </w:pPr>
            <w:r w:rsidRPr="00A26667">
              <w:rPr>
                <w:rFonts w:asciiTheme="minorHAnsi" w:hAnsiTheme="minorHAnsi" w:cstheme="minorHAnsi"/>
                <w:i/>
                <w:sz w:val="16"/>
              </w:rPr>
              <w:t>Data source:</w:t>
            </w:r>
            <w:r w:rsidRPr="00A26667">
              <w:rPr>
                <w:rFonts w:asciiTheme="minorHAnsi" w:hAnsiTheme="minorHAnsi" w:cstheme="minorHAnsi"/>
                <w:sz w:val="16"/>
              </w:rPr>
              <w:t xml:space="preserve"> Waka Kotahi. This was a new measure in 2019/20 and shows the proportion of all journeys made on strategic freight and tourist routes that achieved the predictability target. Predictability is a measure of how consistent the travel time is for customers along a journey. Journey times are extracted from TomTom for a basket of key journeys defined nationally by Waka Kotahi. Travel times are extracted at 15-minute intervals for urban journeys and one-hour intervals for inter-regional journeys. The predictability calculation requires a two-year history of travel time data. It is defined by setting a target travel time based on “previous financial year” and comparing it against the travel time in the “current year”.</w:t>
            </w:r>
          </w:p>
          <w:p w14:paraId="1C13C8C0" w14:textId="77777777" w:rsidR="00581EAD" w:rsidRPr="00DF571E" w:rsidRDefault="00581EAD" w:rsidP="008D5FE2">
            <w:pPr>
              <w:rPr>
                <w:sz w:val="20"/>
              </w:rPr>
            </w:pPr>
          </w:p>
        </w:tc>
      </w:tr>
      <w:tr w:rsidR="00581EAD" w:rsidRPr="00BA0BD0" w14:paraId="043B88E6" w14:textId="77777777" w:rsidTr="00647994">
        <w:tc>
          <w:tcPr>
            <w:tcW w:w="3726" w:type="pct"/>
            <w:shd w:val="clear" w:color="auto" w:fill="EDF8AA"/>
          </w:tcPr>
          <w:p w14:paraId="0379CFA3" w14:textId="356A59CE" w:rsidR="00581EAD" w:rsidRPr="00BA0BD0" w:rsidRDefault="00647994" w:rsidP="008D5FE2">
            <w:pPr>
              <w:keepNext/>
              <w:jc w:val="center"/>
            </w:pPr>
            <w:r>
              <w:rPr>
                <w:noProof/>
                <w:lang w:eastAsia="en-NZ"/>
              </w:rPr>
              <w:lastRenderedPageBreak/>
              <w:drawing>
                <wp:inline distT="0" distB="0" distL="0" distR="0" wp14:anchorId="4C040A14" wp14:editId="385279E5">
                  <wp:extent cx="4800600" cy="2211457"/>
                  <wp:effectExtent l="0" t="0" r="0" b="17780"/>
                  <wp:docPr id="7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tc>
        <w:tc>
          <w:tcPr>
            <w:tcW w:w="1274" w:type="pct"/>
            <w:shd w:val="clear" w:color="auto" w:fill="EDF8AA"/>
            <w:vAlign w:val="center"/>
          </w:tcPr>
          <w:p w14:paraId="731F54BD" w14:textId="77777777" w:rsidR="00581EAD" w:rsidRPr="00353C41" w:rsidRDefault="00581EAD" w:rsidP="00964100">
            <w:r w:rsidRPr="00353C41">
              <w:t>This is a new measure.</w:t>
            </w:r>
          </w:p>
          <w:p w14:paraId="1402BD2A" w14:textId="77777777" w:rsidR="00581EAD" w:rsidRPr="00353C41" w:rsidRDefault="00581EAD" w:rsidP="00964100"/>
          <w:p w14:paraId="481FBA51" w14:textId="77777777" w:rsidR="00581EAD" w:rsidRPr="00353C41" w:rsidRDefault="00581EAD" w:rsidP="00964100">
            <w:r w:rsidRPr="00353C41">
              <w:t>Out of the total 3,995.1km key social and economic corridors across the country, 39% (1,563.7km) have viable alternative routes. Mapped throughout the network, the result is lower in the South Island compared with the North Island.</w:t>
            </w:r>
          </w:p>
        </w:tc>
      </w:tr>
      <w:tr w:rsidR="00581EAD" w:rsidRPr="00BA0BD0" w14:paraId="1FF986B2" w14:textId="77777777" w:rsidTr="00581EAD">
        <w:tc>
          <w:tcPr>
            <w:tcW w:w="5000" w:type="pct"/>
            <w:gridSpan w:val="2"/>
            <w:shd w:val="clear" w:color="auto" w:fill="D0CECE" w:themeFill="background2" w:themeFillShade="E6"/>
          </w:tcPr>
          <w:p w14:paraId="7AFFA05D" w14:textId="77777777" w:rsidR="00581EAD" w:rsidRPr="00A26667" w:rsidRDefault="00581EAD" w:rsidP="008D5FE2">
            <w:pPr>
              <w:rPr>
                <w:rFonts w:asciiTheme="minorHAnsi" w:hAnsiTheme="minorHAnsi" w:cstheme="minorHAnsi"/>
                <w:sz w:val="16"/>
              </w:rPr>
            </w:pPr>
            <w:r w:rsidRPr="00A26667">
              <w:rPr>
                <w:rFonts w:asciiTheme="minorHAnsi" w:hAnsiTheme="minorHAnsi" w:cstheme="minorHAnsi"/>
                <w:i/>
                <w:sz w:val="16"/>
              </w:rPr>
              <w:t>Data source:</w:t>
            </w:r>
            <w:r w:rsidRPr="00A26667">
              <w:rPr>
                <w:rFonts w:asciiTheme="minorHAnsi" w:hAnsiTheme="minorHAnsi" w:cstheme="minorHAnsi"/>
                <w:sz w:val="16"/>
              </w:rPr>
              <w:t xml:space="preserve"> Waka Kotahi. This was a new measure in 2019/20 and shows the length of key social and economic corridors with viable alternative routes. Key social and economic corridors are routes along the state highway network which, if closed for an extended duration of time, have significant social or economic impacts on communities. Viable alternative routes are those that are suitable for all vehicles (sealed surface, free of one-lane bridges and meet travel time constraints) and approved by their respective road controlling authority as a recognised detour.</w:t>
            </w:r>
          </w:p>
          <w:p w14:paraId="3BB8148F" w14:textId="77777777" w:rsidR="00581EAD" w:rsidRPr="00A26667" w:rsidRDefault="00581EAD" w:rsidP="008D5FE2">
            <w:pPr>
              <w:rPr>
                <w:rFonts w:asciiTheme="minorHAnsi" w:hAnsiTheme="minorHAnsi" w:cstheme="minorHAnsi"/>
                <w:sz w:val="16"/>
              </w:rPr>
            </w:pPr>
          </w:p>
        </w:tc>
      </w:tr>
      <w:tr w:rsidR="00581EAD" w:rsidRPr="00BA0BD0" w14:paraId="55FABA45" w14:textId="77777777" w:rsidTr="00581EAD">
        <w:tc>
          <w:tcPr>
            <w:tcW w:w="3726" w:type="pct"/>
            <w:shd w:val="clear" w:color="auto" w:fill="EDF8AA"/>
          </w:tcPr>
          <w:tbl>
            <w:tblPr>
              <w:tblStyle w:val="GridTable4-Accent1"/>
              <w:tblpPr w:leftFromText="180" w:rightFromText="180" w:horzAnchor="margin" w:tblpY="276"/>
              <w:tblOverlap w:val="never"/>
              <w:tblW w:w="7565" w:type="dxa"/>
              <w:tblLook w:val="04A0" w:firstRow="1" w:lastRow="0" w:firstColumn="1" w:lastColumn="0" w:noHBand="0" w:noVBand="1"/>
            </w:tblPr>
            <w:tblGrid>
              <w:gridCol w:w="6331"/>
              <w:gridCol w:w="1234"/>
            </w:tblGrid>
            <w:tr w:rsidR="00581EAD" w:rsidRPr="00BA0BD0" w14:paraId="3A7B78C2" w14:textId="77777777" w:rsidTr="00581EAD">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6331" w:type="dxa"/>
                  <w:shd w:val="clear" w:color="auto" w:fill="B4D012"/>
                </w:tcPr>
                <w:p w14:paraId="42B11ED9" w14:textId="77777777" w:rsidR="00581EAD" w:rsidRPr="00BA0BD0" w:rsidRDefault="00581EAD" w:rsidP="008D5FE2">
                  <w:pPr>
                    <w:keepNext/>
                    <w:jc w:val="center"/>
                  </w:pPr>
                </w:p>
              </w:tc>
              <w:tc>
                <w:tcPr>
                  <w:tcW w:w="1234" w:type="dxa"/>
                  <w:shd w:val="clear" w:color="auto" w:fill="B4D012"/>
                </w:tcPr>
                <w:p w14:paraId="1FF94FEA" w14:textId="77777777" w:rsidR="00581EAD" w:rsidRPr="00BA0BD0" w:rsidRDefault="00581EAD" w:rsidP="008D5FE2">
                  <w:pPr>
                    <w:keepNext/>
                    <w:jc w:val="center"/>
                    <w:cnfStyle w:val="100000000000" w:firstRow="1" w:lastRow="0" w:firstColumn="0" w:lastColumn="0" w:oddVBand="0" w:evenVBand="0" w:oddHBand="0" w:evenHBand="0" w:firstRowFirstColumn="0" w:firstRowLastColumn="0" w:lastRowFirstColumn="0" w:lastRowLastColumn="0"/>
                  </w:pPr>
                  <w:r w:rsidRPr="00BA0BD0">
                    <w:t>2019/20</w:t>
                  </w:r>
                </w:p>
              </w:tc>
            </w:tr>
            <w:tr w:rsidR="00581EAD" w:rsidRPr="00BA0BD0" w14:paraId="7334C477" w14:textId="77777777" w:rsidTr="00581EAD">
              <w:trPr>
                <w:cnfStyle w:val="000000100000" w:firstRow="0" w:lastRow="0" w:firstColumn="0" w:lastColumn="0" w:oddVBand="0" w:evenVBand="0" w:oddHBand="1"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6331" w:type="dxa"/>
                  <w:shd w:val="clear" w:color="auto" w:fill="FFFFFF" w:themeFill="background1"/>
                </w:tcPr>
                <w:p w14:paraId="2DD47F86" w14:textId="77777777" w:rsidR="00581EAD" w:rsidRPr="00BA0BD0" w:rsidRDefault="00581EAD" w:rsidP="008D5FE2">
                  <w:pPr>
                    <w:keepNext/>
                    <w:jc w:val="center"/>
                  </w:pPr>
                  <w:r w:rsidRPr="00BA0BD0">
                    <w:rPr>
                      <w:b w:val="0"/>
                      <w:sz w:val="20"/>
                      <w:lang w:val="en-US"/>
                    </w:rPr>
                    <w:t xml:space="preserve">Number of hours that priority routes for freight and tourism are unavailable </w:t>
                  </w:r>
                </w:p>
              </w:tc>
              <w:tc>
                <w:tcPr>
                  <w:tcW w:w="1234" w:type="dxa"/>
                  <w:shd w:val="clear" w:color="auto" w:fill="FFFFFF" w:themeFill="background1"/>
                </w:tcPr>
                <w:p w14:paraId="4C2CF160" w14:textId="77777777" w:rsidR="00581EAD" w:rsidRPr="00BA0BD0" w:rsidRDefault="00581EAD" w:rsidP="008D5FE2">
                  <w:pPr>
                    <w:keepNext/>
                    <w:spacing w:before="120" w:after="120"/>
                    <w:jc w:val="center"/>
                    <w:cnfStyle w:val="000000100000" w:firstRow="0" w:lastRow="0" w:firstColumn="0" w:lastColumn="0" w:oddVBand="0" w:evenVBand="0" w:oddHBand="1" w:evenHBand="0" w:firstRowFirstColumn="0" w:firstRowLastColumn="0" w:lastRowFirstColumn="0" w:lastRowLastColumn="0"/>
                  </w:pPr>
                  <w:r w:rsidRPr="00BA0BD0">
                    <w:t xml:space="preserve">3,701 hours </w:t>
                  </w:r>
                </w:p>
              </w:tc>
            </w:tr>
          </w:tbl>
          <w:p w14:paraId="4A620C34" w14:textId="77777777" w:rsidR="00581EAD" w:rsidRPr="00BA0BD0" w:rsidRDefault="00581EAD" w:rsidP="008D5FE2">
            <w:pPr>
              <w:keepNext/>
              <w:jc w:val="center"/>
            </w:pPr>
          </w:p>
        </w:tc>
        <w:tc>
          <w:tcPr>
            <w:tcW w:w="1274" w:type="pct"/>
            <w:shd w:val="clear" w:color="auto" w:fill="EDF8AA"/>
            <w:vAlign w:val="center"/>
          </w:tcPr>
          <w:p w14:paraId="42C335FB" w14:textId="5BCD1CC6" w:rsidR="00581EAD" w:rsidRPr="00BA0BD0" w:rsidRDefault="00581EAD" w:rsidP="00964100">
            <w:pPr>
              <w:pStyle w:val="BodyText"/>
              <w:spacing w:before="120" w:after="120"/>
            </w:pPr>
            <w:r w:rsidRPr="00BA0BD0">
              <w:t>A total of 3,701 hours of unplanned road closures on these routes occurred this financial year across 530 events, with an average closure duration of 7 hours. This compares with an average closure duration of 11.9 hours across t</w:t>
            </w:r>
            <w:r w:rsidR="009869AF">
              <w:t>he whole state highway network.</w:t>
            </w:r>
          </w:p>
        </w:tc>
      </w:tr>
      <w:tr w:rsidR="00581EAD" w:rsidRPr="00BA0BD0" w14:paraId="4845E04E" w14:textId="77777777" w:rsidTr="00581EAD">
        <w:tc>
          <w:tcPr>
            <w:tcW w:w="5000" w:type="pct"/>
            <w:gridSpan w:val="2"/>
            <w:shd w:val="clear" w:color="auto" w:fill="D0CECE" w:themeFill="background2" w:themeFillShade="E6"/>
          </w:tcPr>
          <w:p w14:paraId="0EC8CBFA" w14:textId="77777777" w:rsidR="00581EAD" w:rsidRPr="00A26667" w:rsidRDefault="00581EAD" w:rsidP="00A26667">
            <w:pPr>
              <w:pStyle w:val="BodyText"/>
              <w:spacing w:before="120" w:after="120"/>
              <w:rPr>
                <w:rFonts w:asciiTheme="minorHAnsi" w:hAnsiTheme="minorHAnsi" w:cstheme="minorHAnsi"/>
                <w:sz w:val="16"/>
                <w:szCs w:val="16"/>
              </w:rPr>
            </w:pPr>
            <w:r w:rsidRPr="00A26667">
              <w:rPr>
                <w:rFonts w:asciiTheme="minorHAnsi" w:hAnsiTheme="minorHAnsi" w:cstheme="minorHAnsi"/>
                <w:i/>
                <w:sz w:val="16"/>
                <w:szCs w:val="16"/>
              </w:rPr>
              <w:t>Data source</w:t>
            </w:r>
            <w:r w:rsidRPr="00A26667">
              <w:rPr>
                <w:rFonts w:asciiTheme="minorHAnsi" w:hAnsiTheme="minorHAnsi" w:cstheme="minorHAnsi"/>
                <w:sz w:val="16"/>
                <w:szCs w:val="16"/>
              </w:rPr>
              <w:t>: Waka Kotahi. This was a new measure in 2019/20 and shows the total number of travel hours that priority routes for freig</w:t>
            </w:r>
            <w:r>
              <w:rPr>
                <w:rFonts w:asciiTheme="minorHAnsi" w:hAnsiTheme="minorHAnsi" w:cstheme="minorHAnsi"/>
                <w:sz w:val="16"/>
                <w:szCs w:val="16"/>
              </w:rPr>
              <w:t>ht and tourism are unavailable.</w:t>
            </w:r>
          </w:p>
        </w:tc>
      </w:tr>
      <w:tr w:rsidR="00581EAD" w:rsidRPr="00BA0BD0" w14:paraId="467FAC79" w14:textId="77777777" w:rsidTr="00581EAD">
        <w:tc>
          <w:tcPr>
            <w:tcW w:w="3726" w:type="pct"/>
            <w:shd w:val="clear" w:color="auto" w:fill="EDF8AA"/>
          </w:tcPr>
          <w:tbl>
            <w:tblPr>
              <w:tblStyle w:val="GridTable4-Accent1"/>
              <w:tblW w:w="0" w:type="auto"/>
              <w:tblLook w:val="04A0" w:firstRow="1" w:lastRow="0" w:firstColumn="1" w:lastColumn="0" w:noHBand="0" w:noVBand="1"/>
            </w:tblPr>
            <w:tblGrid>
              <w:gridCol w:w="5190"/>
              <w:gridCol w:w="2348"/>
            </w:tblGrid>
            <w:tr w:rsidR="00581EAD" w:rsidRPr="00BA0BD0" w14:paraId="2BAC91C1" w14:textId="77777777" w:rsidTr="00581E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0" w:type="dxa"/>
                  <w:shd w:val="clear" w:color="auto" w:fill="B4D012"/>
                </w:tcPr>
                <w:p w14:paraId="3BBAE9CD" w14:textId="77777777" w:rsidR="00581EAD" w:rsidRPr="00BA0BD0" w:rsidRDefault="00581EAD" w:rsidP="008D5FE2">
                  <w:pPr>
                    <w:keepNext/>
                    <w:jc w:val="center"/>
                  </w:pPr>
                </w:p>
              </w:tc>
              <w:tc>
                <w:tcPr>
                  <w:tcW w:w="2348" w:type="dxa"/>
                  <w:shd w:val="clear" w:color="auto" w:fill="B4D012"/>
                </w:tcPr>
                <w:p w14:paraId="0CA832AB" w14:textId="77777777" w:rsidR="00581EAD" w:rsidRPr="00BA0BD0" w:rsidRDefault="00581EAD" w:rsidP="008D5FE2">
                  <w:pPr>
                    <w:keepNext/>
                    <w:jc w:val="center"/>
                    <w:cnfStyle w:val="100000000000" w:firstRow="1" w:lastRow="0" w:firstColumn="0" w:lastColumn="0" w:oddVBand="0" w:evenVBand="0" w:oddHBand="0" w:evenHBand="0" w:firstRowFirstColumn="0" w:firstRowLastColumn="0" w:lastRowFirstColumn="0" w:lastRowLastColumn="0"/>
                  </w:pPr>
                  <w:r w:rsidRPr="00BA0BD0">
                    <w:t>2019/20</w:t>
                  </w:r>
                </w:p>
              </w:tc>
            </w:tr>
            <w:tr w:rsidR="00581EAD" w:rsidRPr="00BA0BD0" w14:paraId="1AF67E23" w14:textId="77777777" w:rsidTr="00581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0" w:type="dxa"/>
                  <w:shd w:val="clear" w:color="auto" w:fill="FFFFFF" w:themeFill="background1"/>
                </w:tcPr>
                <w:p w14:paraId="16606578" w14:textId="77777777" w:rsidR="00581EAD" w:rsidRPr="00BA0BD0" w:rsidRDefault="00581EAD" w:rsidP="008D5FE2">
                  <w:pPr>
                    <w:keepNext/>
                    <w:jc w:val="center"/>
                  </w:pPr>
                  <w:r w:rsidRPr="00BA0BD0">
                    <w:rPr>
                      <w:b w:val="0"/>
                      <w:sz w:val="20"/>
                      <w:lang w:val="en-US"/>
                    </w:rPr>
                    <w:t xml:space="preserve">Number of trials undertaken on intelligent transport systems and other technologies </w:t>
                  </w:r>
                </w:p>
              </w:tc>
              <w:tc>
                <w:tcPr>
                  <w:tcW w:w="2348" w:type="dxa"/>
                  <w:shd w:val="clear" w:color="auto" w:fill="FFFFFF" w:themeFill="background1"/>
                </w:tcPr>
                <w:p w14:paraId="0B216398" w14:textId="77777777" w:rsidR="00581EAD" w:rsidRPr="00BA0BD0" w:rsidRDefault="00581EAD" w:rsidP="008D5FE2">
                  <w:pPr>
                    <w:keepNext/>
                    <w:spacing w:before="120" w:after="120"/>
                    <w:jc w:val="center"/>
                    <w:cnfStyle w:val="000000100000" w:firstRow="0" w:lastRow="0" w:firstColumn="0" w:lastColumn="0" w:oddVBand="0" w:evenVBand="0" w:oddHBand="1" w:evenHBand="0" w:firstRowFirstColumn="0" w:firstRowLastColumn="0" w:lastRowFirstColumn="0" w:lastRowLastColumn="0"/>
                  </w:pPr>
                  <w:r w:rsidRPr="00BA0BD0">
                    <w:t xml:space="preserve">2 </w:t>
                  </w:r>
                </w:p>
              </w:tc>
            </w:tr>
            <w:tr w:rsidR="00581EAD" w:rsidRPr="00BA0BD0" w14:paraId="170285D0" w14:textId="77777777" w:rsidTr="00581EAD">
              <w:tc>
                <w:tcPr>
                  <w:cnfStyle w:val="001000000000" w:firstRow="0" w:lastRow="0" w:firstColumn="1" w:lastColumn="0" w:oddVBand="0" w:evenVBand="0" w:oddHBand="0" w:evenHBand="0" w:firstRowFirstColumn="0" w:firstRowLastColumn="0" w:lastRowFirstColumn="0" w:lastRowLastColumn="0"/>
                  <w:tcW w:w="5190" w:type="dxa"/>
                  <w:shd w:val="clear" w:color="auto" w:fill="FFFFFF" w:themeFill="background1"/>
                </w:tcPr>
                <w:p w14:paraId="7D51B5DD" w14:textId="77777777" w:rsidR="00581EAD" w:rsidRPr="00BA0BD0" w:rsidRDefault="00581EAD" w:rsidP="008D5FE2">
                  <w:pPr>
                    <w:keepNext/>
                    <w:jc w:val="center"/>
                    <w:rPr>
                      <w:b w:val="0"/>
                      <w:sz w:val="20"/>
                      <w:lang w:val="en-US"/>
                    </w:rPr>
                  </w:pPr>
                  <w:r w:rsidRPr="00BA0BD0">
                    <w:rPr>
                      <w:b w:val="0"/>
                      <w:sz w:val="20"/>
                      <w:lang w:val="en-US"/>
                    </w:rPr>
                    <w:t xml:space="preserve">Number of trials implemented on intelligent transport systems and other technologies </w:t>
                  </w:r>
                </w:p>
              </w:tc>
              <w:tc>
                <w:tcPr>
                  <w:tcW w:w="2348" w:type="dxa"/>
                  <w:shd w:val="clear" w:color="auto" w:fill="FFFFFF" w:themeFill="background1"/>
                </w:tcPr>
                <w:p w14:paraId="42BAE57B" w14:textId="77777777" w:rsidR="00581EAD" w:rsidRPr="00BA0BD0" w:rsidRDefault="00581EAD" w:rsidP="008D5FE2">
                  <w:pPr>
                    <w:keepNext/>
                    <w:spacing w:before="120" w:after="120"/>
                    <w:jc w:val="center"/>
                    <w:cnfStyle w:val="000000000000" w:firstRow="0" w:lastRow="0" w:firstColumn="0" w:lastColumn="0" w:oddVBand="0" w:evenVBand="0" w:oddHBand="0" w:evenHBand="0" w:firstRowFirstColumn="0" w:firstRowLastColumn="0" w:lastRowFirstColumn="0" w:lastRowLastColumn="0"/>
                  </w:pPr>
                  <w:r w:rsidRPr="00BA0BD0">
                    <w:t>1</w:t>
                  </w:r>
                </w:p>
              </w:tc>
            </w:tr>
          </w:tbl>
          <w:p w14:paraId="56D44624" w14:textId="77777777" w:rsidR="00581EAD" w:rsidRPr="001C3741" w:rsidRDefault="00581EAD" w:rsidP="008D5FE2">
            <w:pPr>
              <w:pStyle w:val="BodyText"/>
              <w:spacing w:before="120" w:after="120"/>
              <w:rPr>
                <w:i/>
                <w:sz w:val="20"/>
              </w:rPr>
            </w:pPr>
          </w:p>
        </w:tc>
        <w:tc>
          <w:tcPr>
            <w:tcW w:w="1274" w:type="pct"/>
            <w:shd w:val="clear" w:color="auto" w:fill="EDF8AA"/>
          </w:tcPr>
          <w:p w14:paraId="2893BB28" w14:textId="77777777" w:rsidR="00581EAD" w:rsidRPr="001C3741" w:rsidRDefault="00581EAD" w:rsidP="008D5FE2">
            <w:pPr>
              <w:pStyle w:val="BodyText"/>
              <w:spacing w:before="120" w:after="120"/>
              <w:rPr>
                <w:i/>
                <w:sz w:val="20"/>
              </w:rPr>
            </w:pPr>
          </w:p>
        </w:tc>
      </w:tr>
      <w:tr w:rsidR="00581EAD" w:rsidRPr="00BA0BD0" w14:paraId="7C7BBAB6" w14:textId="77777777" w:rsidTr="00581EAD">
        <w:tc>
          <w:tcPr>
            <w:tcW w:w="5000" w:type="pct"/>
            <w:gridSpan w:val="2"/>
            <w:shd w:val="clear" w:color="auto" w:fill="D0CECE" w:themeFill="background2" w:themeFillShade="E6"/>
          </w:tcPr>
          <w:p w14:paraId="2B08679D" w14:textId="77777777" w:rsidR="00581EAD" w:rsidRPr="00A26667" w:rsidRDefault="00581EAD" w:rsidP="008D5FE2">
            <w:pPr>
              <w:pStyle w:val="BodyText"/>
              <w:spacing w:before="120" w:after="120"/>
              <w:rPr>
                <w:rFonts w:asciiTheme="minorHAnsi" w:hAnsiTheme="minorHAnsi" w:cstheme="minorHAnsi"/>
                <w:sz w:val="20"/>
              </w:rPr>
            </w:pPr>
            <w:r w:rsidRPr="00A26667">
              <w:rPr>
                <w:rFonts w:asciiTheme="minorHAnsi" w:hAnsiTheme="minorHAnsi" w:cstheme="minorHAnsi"/>
                <w:i/>
                <w:sz w:val="16"/>
              </w:rPr>
              <w:t>Data source</w:t>
            </w:r>
            <w:r w:rsidRPr="00A26667">
              <w:rPr>
                <w:rFonts w:asciiTheme="minorHAnsi" w:hAnsiTheme="minorHAnsi" w:cstheme="minorHAnsi"/>
                <w:sz w:val="16"/>
              </w:rPr>
              <w:t>: Waka Kotahi. A trial for new CCTV camera in Wellington was undertaken. No changes were implemented because the existing cameras that were due for renewal were still fit for purpose. The trial for the Paremata roundabout involving the installation of a two-aspect (red and amber) roundabout metering system on the SH1 northbound approach resulted in the implementation of changes based on recommendations from the trial. Subsequently, benefits include improved travel times for southbound traffic through the roundabout, with approximately 1,860 vehicles during the 4-6pm peak experiencing an average five-minute reduction in journey times. Drivers from other directions, including approximately 2,330 vehicles travelling northbound on SH1 and 1,360 vehicles travelling east onto SH58 between 4-6pm, have not been significantly affected, with a negligible increase in journey times.</w:t>
            </w:r>
          </w:p>
        </w:tc>
      </w:tr>
    </w:tbl>
    <w:p w14:paraId="31B6DFAA" w14:textId="77777777" w:rsidR="00E1047E" w:rsidRDefault="00E1047E" w:rsidP="00E1047E"/>
    <w:p w14:paraId="269647B0" w14:textId="77777777" w:rsidR="008D5FE2" w:rsidRDefault="008D5FE2" w:rsidP="008D5FE2">
      <w:pPr>
        <w:pStyle w:val="Title"/>
        <w:rPr>
          <w:b/>
          <w:color w:val="00A9EF"/>
          <w:u w:val="single"/>
        </w:rPr>
      </w:pPr>
      <w:bookmarkStart w:id="8" w:name="_Hlk70425564"/>
      <w:r>
        <w:rPr>
          <w:b/>
          <w:color w:val="00A9EF"/>
          <w:u w:val="single"/>
        </w:rPr>
        <w:t>Environment</w:t>
      </w:r>
    </w:p>
    <w:bookmarkEnd w:id="8"/>
    <w:p w14:paraId="6E48E082" w14:textId="77777777" w:rsidR="008D5FE2" w:rsidRDefault="008D5FE2" w:rsidP="005D66F0"/>
    <w:p w14:paraId="7CD9D68E" w14:textId="548E7DF6" w:rsidR="00754C13" w:rsidRPr="00754C13" w:rsidRDefault="00754C13" w:rsidP="00754C13">
      <w:pPr>
        <w:pStyle w:val="Heading1"/>
        <w:ind w:left="0"/>
        <w:rPr>
          <w:rStyle w:val="IntenseReference"/>
          <w:b/>
          <w:bCs/>
          <w:smallCaps w:val="0"/>
          <w:color w:val="00A9EF"/>
        </w:rPr>
      </w:pPr>
      <w:r w:rsidRPr="00754C13">
        <w:rPr>
          <w:color w:val="00A9EF"/>
        </w:rPr>
        <w:t>Greenhouse gases</w:t>
      </w:r>
    </w:p>
    <w:p w14:paraId="1118E92B" w14:textId="1AF9F9F6" w:rsidR="00754C13" w:rsidRDefault="009F6677" w:rsidP="00754C13">
      <w:r>
        <w:t xml:space="preserve">Greenhouse </w:t>
      </w:r>
      <w:r w:rsidR="00754C13">
        <w:t xml:space="preserve">gas emissions have slightly increased across all regions in the past four years, with Auckland having the </w:t>
      </w:r>
      <w:r w:rsidR="009C482A">
        <w:t xml:space="preserve">highest </w:t>
      </w:r>
      <w:r w:rsidR="00754C13">
        <w:t xml:space="preserve">levels of </w:t>
      </w:r>
      <w:r w:rsidR="009C482A">
        <w:t xml:space="preserve">greenhouse gas </w:t>
      </w:r>
      <w:r w:rsidR="00754C13">
        <w:t>emiss</w:t>
      </w:r>
      <w:r>
        <w:t xml:space="preserve">ions compared to other regions and </w:t>
      </w:r>
      <w:r w:rsidR="003F27C3">
        <w:t>Nelson</w:t>
      </w:r>
      <w:r>
        <w:t xml:space="preserve"> the lowest. </w:t>
      </w:r>
    </w:p>
    <w:p w14:paraId="530154C6" w14:textId="2699E517" w:rsidR="00962545" w:rsidRDefault="00962545" w:rsidP="00754C13"/>
    <w:p w14:paraId="03B5CB3A" w14:textId="77777777" w:rsidR="009C482A" w:rsidRDefault="009C482A" w:rsidP="00754C13"/>
    <w:p w14:paraId="2057FD14" w14:textId="6AFC488A" w:rsidR="00EE41D9" w:rsidRDefault="00EE41D9" w:rsidP="009F6677">
      <w:pPr>
        <w:pStyle w:val="Heading1"/>
        <w:ind w:left="0"/>
        <w:rPr>
          <w:rStyle w:val="Strong"/>
          <w:rFonts w:asciiTheme="minorHAnsi" w:hAnsiTheme="minorHAnsi" w:cstheme="minorHAnsi"/>
          <w:b/>
          <w:bCs/>
          <w:color w:val="00A9EF"/>
        </w:rPr>
      </w:pPr>
      <w:r>
        <w:rPr>
          <w:noProof/>
          <w:lang w:bidi="ar-SA"/>
        </w:rPr>
        <w:lastRenderedPageBreak/>
        <w:drawing>
          <wp:inline distT="0" distB="0" distL="0" distR="0" wp14:anchorId="6B77B716" wp14:editId="5025214F">
            <wp:extent cx="6314230" cy="3424942"/>
            <wp:effectExtent l="0" t="0" r="10795" b="444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7995BC5C" w14:textId="3DC8C9F3" w:rsidR="00EE41D9" w:rsidRDefault="00EE41D9" w:rsidP="009F6677">
      <w:pPr>
        <w:pStyle w:val="Heading1"/>
        <w:ind w:left="0"/>
        <w:rPr>
          <w:rStyle w:val="Strong"/>
          <w:rFonts w:asciiTheme="minorHAnsi" w:hAnsiTheme="minorHAnsi" w:cstheme="minorHAnsi"/>
          <w:b/>
          <w:bCs/>
          <w:color w:val="00A9EF"/>
        </w:rPr>
      </w:pPr>
    </w:p>
    <w:p w14:paraId="5AF83ABB" w14:textId="4FDC432E" w:rsidR="007D7E9C" w:rsidRDefault="007D7E9C" w:rsidP="009F6677">
      <w:pPr>
        <w:pStyle w:val="Heading1"/>
        <w:ind w:left="0"/>
        <w:rPr>
          <w:rStyle w:val="Strong"/>
          <w:rFonts w:asciiTheme="minorHAnsi" w:hAnsiTheme="minorHAnsi" w:cstheme="minorHAnsi"/>
          <w:b/>
          <w:bCs/>
          <w:color w:val="00A9EF"/>
        </w:rPr>
      </w:pPr>
      <w:r>
        <w:rPr>
          <w:noProof/>
          <w:lang w:bidi="ar-SA"/>
        </w:rPr>
        <w:drawing>
          <wp:inline distT="0" distB="0" distL="0" distR="0" wp14:anchorId="500A1A32" wp14:editId="34C439E9">
            <wp:extent cx="6313805" cy="2743200"/>
            <wp:effectExtent l="0" t="0" r="1079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6AC5061E" w14:textId="77777777" w:rsidR="007D7E9C" w:rsidRDefault="007D7E9C" w:rsidP="009F6677">
      <w:pPr>
        <w:pStyle w:val="Heading1"/>
        <w:ind w:left="0"/>
        <w:rPr>
          <w:rStyle w:val="Strong"/>
          <w:rFonts w:asciiTheme="minorHAnsi" w:hAnsiTheme="minorHAnsi" w:cstheme="minorHAnsi"/>
          <w:b/>
          <w:bCs/>
          <w:color w:val="00A9EF"/>
        </w:rPr>
      </w:pPr>
    </w:p>
    <w:p w14:paraId="06743AB6" w14:textId="77777777" w:rsidR="007D7E9C" w:rsidRDefault="007D7E9C" w:rsidP="009F6677">
      <w:pPr>
        <w:pStyle w:val="Heading1"/>
        <w:ind w:left="0"/>
        <w:rPr>
          <w:rStyle w:val="Strong"/>
          <w:rFonts w:asciiTheme="minorHAnsi" w:hAnsiTheme="minorHAnsi" w:cstheme="minorHAnsi"/>
          <w:b/>
          <w:bCs/>
          <w:color w:val="00A9EF"/>
        </w:rPr>
      </w:pPr>
    </w:p>
    <w:p w14:paraId="704210D0" w14:textId="29ED0F64" w:rsidR="009F6677" w:rsidRPr="00754C13" w:rsidRDefault="009F6677" w:rsidP="009F6677">
      <w:pPr>
        <w:pStyle w:val="Heading1"/>
        <w:ind w:left="0"/>
        <w:rPr>
          <w:rStyle w:val="Strong"/>
          <w:rFonts w:asciiTheme="minorHAnsi" w:hAnsiTheme="minorHAnsi" w:cstheme="minorHAnsi"/>
          <w:b/>
          <w:bCs/>
          <w:color w:val="00A9EF"/>
        </w:rPr>
      </w:pPr>
      <w:r w:rsidRPr="00754C13">
        <w:rPr>
          <w:rStyle w:val="Strong"/>
          <w:rFonts w:asciiTheme="minorHAnsi" w:hAnsiTheme="minorHAnsi" w:cstheme="minorHAnsi"/>
          <w:b/>
          <w:bCs/>
          <w:color w:val="00A9EF"/>
        </w:rPr>
        <w:t xml:space="preserve">Harmful emissions </w:t>
      </w:r>
    </w:p>
    <w:p w14:paraId="318BE3DD" w14:textId="77777777" w:rsidR="009F6677" w:rsidRPr="009F6677" w:rsidRDefault="009F6677" w:rsidP="009F6677">
      <w:r>
        <w:t xml:space="preserve">The amount of harmful emissions emitted into the atmosphere each year from land transport has remained relatively consistent between 2016-2019.  </w:t>
      </w:r>
    </w:p>
    <w:p w14:paraId="5EB16921" w14:textId="77777777" w:rsidR="009F6677" w:rsidRDefault="009F6677" w:rsidP="009F6677">
      <w:r w:rsidRPr="00BA0BD0">
        <w:rPr>
          <w:rStyle w:val="Strong"/>
        </w:rPr>
        <w:t>Tonnes of harmful emissions emitted per year from land transport (kilo tonnes/year)</w:t>
      </w:r>
    </w:p>
    <w:tbl>
      <w:tblPr>
        <w:tblStyle w:val="GridTable4-Accent1"/>
        <w:tblpPr w:leftFromText="180" w:rightFromText="180" w:vertAnchor="text" w:horzAnchor="margin" w:tblpY="187"/>
        <w:tblW w:w="5000" w:type="pct"/>
        <w:tblLook w:val="04A0" w:firstRow="1" w:lastRow="0" w:firstColumn="1" w:lastColumn="0" w:noHBand="0" w:noVBand="1"/>
      </w:tblPr>
      <w:tblGrid>
        <w:gridCol w:w="3979"/>
        <w:gridCol w:w="1621"/>
        <w:gridCol w:w="1621"/>
        <w:gridCol w:w="1621"/>
        <w:gridCol w:w="1614"/>
      </w:tblGrid>
      <w:tr w:rsidR="009F6677" w:rsidRPr="00BA0BD0" w14:paraId="5A94D603" w14:textId="77777777" w:rsidTr="00BC1EC5">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903" w:type="pct"/>
            <w:shd w:val="clear" w:color="auto" w:fill="00A9EF"/>
          </w:tcPr>
          <w:p w14:paraId="571AFAA4" w14:textId="77777777" w:rsidR="009F6677" w:rsidRPr="00BA0BD0" w:rsidRDefault="009F6677" w:rsidP="00BC1EC5">
            <w:pPr>
              <w:keepNext/>
            </w:pPr>
          </w:p>
        </w:tc>
        <w:tc>
          <w:tcPr>
            <w:tcW w:w="775" w:type="pct"/>
            <w:shd w:val="clear" w:color="auto" w:fill="00A9EF"/>
          </w:tcPr>
          <w:p w14:paraId="410E55BF" w14:textId="77777777" w:rsidR="009F6677" w:rsidRPr="00BA0BD0" w:rsidRDefault="009F6677" w:rsidP="00BC1EC5">
            <w:pPr>
              <w:keepNext/>
              <w:jc w:val="center"/>
              <w:cnfStyle w:val="100000000000" w:firstRow="1" w:lastRow="0" w:firstColumn="0" w:lastColumn="0" w:oddVBand="0" w:evenVBand="0" w:oddHBand="0" w:evenHBand="0" w:firstRowFirstColumn="0" w:firstRowLastColumn="0" w:lastRowFirstColumn="0" w:lastRowLastColumn="0"/>
            </w:pPr>
            <w:r w:rsidRPr="00BA0BD0">
              <w:t>2016</w:t>
            </w:r>
          </w:p>
        </w:tc>
        <w:tc>
          <w:tcPr>
            <w:tcW w:w="775" w:type="pct"/>
            <w:shd w:val="clear" w:color="auto" w:fill="00A9EF"/>
          </w:tcPr>
          <w:p w14:paraId="5DFC5701" w14:textId="77777777" w:rsidR="009F6677" w:rsidRPr="00BA0BD0" w:rsidRDefault="009F6677" w:rsidP="00BC1EC5">
            <w:pPr>
              <w:keepNext/>
              <w:jc w:val="center"/>
              <w:cnfStyle w:val="100000000000" w:firstRow="1" w:lastRow="0" w:firstColumn="0" w:lastColumn="0" w:oddVBand="0" w:evenVBand="0" w:oddHBand="0" w:evenHBand="0" w:firstRowFirstColumn="0" w:firstRowLastColumn="0" w:lastRowFirstColumn="0" w:lastRowLastColumn="0"/>
            </w:pPr>
            <w:r w:rsidRPr="00BA0BD0">
              <w:t>2017</w:t>
            </w:r>
          </w:p>
        </w:tc>
        <w:tc>
          <w:tcPr>
            <w:tcW w:w="775" w:type="pct"/>
            <w:shd w:val="clear" w:color="auto" w:fill="00A9EF"/>
          </w:tcPr>
          <w:p w14:paraId="34A29A4E" w14:textId="77777777" w:rsidR="009F6677" w:rsidRPr="00BA0BD0" w:rsidRDefault="009F6677" w:rsidP="00BC1EC5">
            <w:pPr>
              <w:keepNext/>
              <w:jc w:val="center"/>
              <w:cnfStyle w:val="100000000000" w:firstRow="1" w:lastRow="0" w:firstColumn="0" w:lastColumn="0" w:oddVBand="0" w:evenVBand="0" w:oddHBand="0" w:evenHBand="0" w:firstRowFirstColumn="0" w:firstRowLastColumn="0" w:lastRowFirstColumn="0" w:lastRowLastColumn="0"/>
            </w:pPr>
            <w:r w:rsidRPr="00BA0BD0">
              <w:t>2018</w:t>
            </w:r>
          </w:p>
        </w:tc>
        <w:tc>
          <w:tcPr>
            <w:tcW w:w="772" w:type="pct"/>
            <w:shd w:val="clear" w:color="auto" w:fill="00A9EF"/>
          </w:tcPr>
          <w:p w14:paraId="5D066D1D" w14:textId="77777777" w:rsidR="009F6677" w:rsidRPr="00BA0BD0" w:rsidRDefault="009F6677" w:rsidP="00BC1EC5">
            <w:pPr>
              <w:keepNext/>
              <w:jc w:val="center"/>
              <w:cnfStyle w:val="100000000000" w:firstRow="1" w:lastRow="0" w:firstColumn="0" w:lastColumn="0" w:oddVBand="0" w:evenVBand="0" w:oddHBand="0" w:evenHBand="0" w:firstRowFirstColumn="0" w:firstRowLastColumn="0" w:lastRowFirstColumn="0" w:lastRowLastColumn="0"/>
            </w:pPr>
            <w:r w:rsidRPr="00BA0BD0">
              <w:t>2019</w:t>
            </w:r>
          </w:p>
        </w:tc>
      </w:tr>
      <w:tr w:rsidR="009F6677" w:rsidRPr="00BA0BD0" w14:paraId="57FB7A8D" w14:textId="77777777" w:rsidTr="00BC1EC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03" w:type="pct"/>
            <w:shd w:val="clear" w:color="auto" w:fill="9FE4FF"/>
          </w:tcPr>
          <w:p w14:paraId="1AE3212F" w14:textId="61FC9543" w:rsidR="009F6677" w:rsidRPr="009766A7" w:rsidRDefault="009F6677" w:rsidP="00BC1EC5">
            <w:pPr>
              <w:keepNext/>
              <w:spacing w:before="40" w:after="40"/>
              <w:jc w:val="center"/>
              <w:rPr>
                <w:b w:val="0"/>
              </w:rPr>
            </w:pPr>
            <w:r w:rsidRPr="009766A7">
              <w:rPr>
                <w:b w:val="0"/>
              </w:rPr>
              <w:t>Nitrogen dioxide NO</w:t>
            </w:r>
            <w:r w:rsidRPr="009766A7">
              <w:rPr>
                <w:b w:val="0"/>
                <w:szCs w:val="20"/>
                <w:vertAlign w:val="subscript"/>
              </w:rPr>
              <w:t>2</w:t>
            </w:r>
          </w:p>
        </w:tc>
        <w:tc>
          <w:tcPr>
            <w:tcW w:w="775" w:type="pct"/>
            <w:shd w:val="clear" w:color="auto" w:fill="9FE4FF"/>
          </w:tcPr>
          <w:p w14:paraId="167CD7BA" w14:textId="77777777" w:rsidR="009F6677" w:rsidRPr="009766A7" w:rsidRDefault="009F6677" w:rsidP="00BC1EC5">
            <w:pPr>
              <w:keepNext/>
              <w:spacing w:before="40" w:after="40"/>
              <w:jc w:val="center"/>
              <w:cnfStyle w:val="000000100000" w:firstRow="0" w:lastRow="0" w:firstColumn="0" w:lastColumn="0" w:oddVBand="0" w:evenVBand="0" w:oddHBand="1" w:evenHBand="0" w:firstRowFirstColumn="0" w:firstRowLastColumn="0" w:lastRowFirstColumn="0" w:lastRowLastColumn="0"/>
            </w:pPr>
            <w:r w:rsidRPr="009766A7">
              <w:t>6.4</w:t>
            </w:r>
          </w:p>
        </w:tc>
        <w:tc>
          <w:tcPr>
            <w:tcW w:w="775" w:type="pct"/>
            <w:shd w:val="clear" w:color="auto" w:fill="9FE4FF"/>
          </w:tcPr>
          <w:p w14:paraId="4E6CB144" w14:textId="77777777" w:rsidR="009F6677" w:rsidRPr="009766A7" w:rsidRDefault="009F6677" w:rsidP="00BC1EC5">
            <w:pPr>
              <w:keepNext/>
              <w:spacing w:before="40" w:after="40"/>
              <w:jc w:val="center"/>
              <w:cnfStyle w:val="000000100000" w:firstRow="0" w:lastRow="0" w:firstColumn="0" w:lastColumn="0" w:oddVBand="0" w:evenVBand="0" w:oddHBand="1" w:evenHBand="0" w:firstRowFirstColumn="0" w:firstRowLastColumn="0" w:lastRowFirstColumn="0" w:lastRowLastColumn="0"/>
            </w:pPr>
            <w:r w:rsidRPr="009766A7">
              <w:t>7.0</w:t>
            </w:r>
          </w:p>
        </w:tc>
        <w:tc>
          <w:tcPr>
            <w:tcW w:w="775" w:type="pct"/>
            <w:shd w:val="clear" w:color="auto" w:fill="9FE4FF"/>
          </w:tcPr>
          <w:p w14:paraId="3AD96E79" w14:textId="77777777" w:rsidR="009F6677" w:rsidRPr="009766A7" w:rsidRDefault="009F6677" w:rsidP="00BC1EC5">
            <w:pPr>
              <w:keepNext/>
              <w:spacing w:before="40" w:after="40"/>
              <w:jc w:val="center"/>
              <w:cnfStyle w:val="000000100000" w:firstRow="0" w:lastRow="0" w:firstColumn="0" w:lastColumn="0" w:oddVBand="0" w:evenVBand="0" w:oddHBand="1" w:evenHBand="0" w:firstRowFirstColumn="0" w:firstRowLastColumn="0" w:lastRowFirstColumn="0" w:lastRowLastColumn="0"/>
            </w:pPr>
            <w:r w:rsidRPr="009766A7">
              <w:t>7.3</w:t>
            </w:r>
          </w:p>
        </w:tc>
        <w:tc>
          <w:tcPr>
            <w:tcW w:w="772" w:type="pct"/>
            <w:shd w:val="clear" w:color="auto" w:fill="9FE4FF"/>
          </w:tcPr>
          <w:p w14:paraId="426FD998" w14:textId="77777777" w:rsidR="009F6677" w:rsidRPr="009766A7" w:rsidRDefault="009F6677" w:rsidP="00BC1EC5">
            <w:pPr>
              <w:keepNext/>
              <w:spacing w:before="40" w:after="40"/>
              <w:jc w:val="center"/>
              <w:cnfStyle w:val="000000100000" w:firstRow="0" w:lastRow="0" w:firstColumn="0" w:lastColumn="0" w:oddVBand="0" w:evenVBand="0" w:oddHBand="1" w:evenHBand="0" w:firstRowFirstColumn="0" w:firstRowLastColumn="0" w:lastRowFirstColumn="0" w:lastRowLastColumn="0"/>
              <w:rPr>
                <w:color w:val="000000"/>
              </w:rPr>
            </w:pPr>
            <w:r w:rsidRPr="009766A7">
              <w:rPr>
                <w:color w:val="000000"/>
              </w:rPr>
              <w:t>7.2</w:t>
            </w:r>
          </w:p>
        </w:tc>
      </w:tr>
      <w:tr w:rsidR="009F6677" w:rsidRPr="00BA0BD0" w14:paraId="35F5C8FB" w14:textId="77777777" w:rsidTr="00BC1EC5">
        <w:trPr>
          <w:trHeight w:val="454"/>
        </w:trPr>
        <w:tc>
          <w:tcPr>
            <w:cnfStyle w:val="001000000000" w:firstRow="0" w:lastRow="0" w:firstColumn="1" w:lastColumn="0" w:oddVBand="0" w:evenVBand="0" w:oddHBand="0" w:evenHBand="0" w:firstRowFirstColumn="0" w:firstRowLastColumn="0" w:lastRowFirstColumn="0" w:lastRowLastColumn="0"/>
            <w:tcW w:w="1903" w:type="pct"/>
            <w:shd w:val="clear" w:color="auto" w:fill="FFFFFF" w:themeFill="background1"/>
          </w:tcPr>
          <w:p w14:paraId="6599675C" w14:textId="77777777" w:rsidR="009F6677" w:rsidRPr="009766A7" w:rsidRDefault="009F6677" w:rsidP="00BC1EC5">
            <w:pPr>
              <w:keepNext/>
              <w:spacing w:before="40" w:after="40"/>
              <w:jc w:val="center"/>
              <w:rPr>
                <w:b w:val="0"/>
              </w:rPr>
            </w:pPr>
            <w:r w:rsidRPr="009766A7">
              <w:rPr>
                <w:b w:val="0"/>
              </w:rPr>
              <w:t>Particulate Matter PM</w:t>
            </w:r>
            <w:r w:rsidRPr="009766A7">
              <w:rPr>
                <w:b w:val="0"/>
                <w:szCs w:val="20"/>
                <w:vertAlign w:val="subscript"/>
              </w:rPr>
              <w:t>10</w:t>
            </w:r>
          </w:p>
        </w:tc>
        <w:tc>
          <w:tcPr>
            <w:tcW w:w="775" w:type="pct"/>
            <w:shd w:val="clear" w:color="auto" w:fill="FFFFFF" w:themeFill="background1"/>
          </w:tcPr>
          <w:p w14:paraId="491F2317" w14:textId="77777777" w:rsidR="009F6677" w:rsidRPr="009766A7" w:rsidRDefault="009F6677" w:rsidP="00BC1EC5">
            <w:pPr>
              <w:keepNext/>
              <w:spacing w:before="40" w:after="40"/>
              <w:jc w:val="center"/>
              <w:cnfStyle w:val="000000000000" w:firstRow="0" w:lastRow="0" w:firstColumn="0" w:lastColumn="0" w:oddVBand="0" w:evenVBand="0" w:oddHBand="0" w:evenHBand="0" w:firstRowFirstColumn="0" w:firstRowLastColumn="0" w:lastRowFirstColumn="0" w:lastRowLastColumn="0"/>
            </w:pPr>
            <w:r w:rsidRPr="009766A7">
              <w:t>2.4</w:t>
            </w:r>
          </w:p>
        </w:tc>
        <w:tc>
          <w:tcPr>
            <w:tcW w:w="775" w:type="pct"/>
            <w:shd w:val="clear" w:color="auto" w:fill="FFFFFF" w:themeFill="background1"/>
          </w:tcPr>
          <w:p w14:paraId="4A920E0F" w14:textId="77777777" w:rsidR="009F6677" w:rsidRPr="009766A7" w:rsidRDefault="009F6677" w:rsidP="00BC1EC5">
            <w:pPr>
              <w:keepNext/>
              <w:spacing w:before="40" w:after="40"/>
              <w:jc w:val="center"/>
              <w:cnfStyle w:val="000000000000" w:firstRow="0" w:lastRow="0" w:firstColumn="0" w:lastColumn="0" w:oddVBand="0" w:evenVBand="0" w:oddHBand="0" w:evenHBand="0" w:firstRowFirstColumn="0" w:firstRowLastColumn="0" w:lastRowFirstColumn="0" w:lastRowLastColumn="0"/>
            </w:pPr>
            <w:r w:rsidRPr="009766A7">
              <w:t>2.6</w:t>
            </w:r>
          </w:p>
        </w:tc>
        <w:tc>
          <w:tcPr>
            <w:tcW w:w="775" w:type="pct"/>
            <w:shd w:val="clear" w:color="auto" w:fill="FFFFFF" w:themeFill="background1"/>
          </w:tcPr>
          <w:p w14:paraId="60323415" w14:textId="77777777" w:rsidR="009F6677" w:rsidRPr="009766A7" w:rsidRDefault="009F6677" w:rsidP="00BC1EC5">
            <w:pPr>
              <w:keepNext/>
              <w:spacing w:before="40" w:after="40"/>
              <w:jc w:val="center"/>
              <w:cnfStyle w:val="000000000000" w:firstRow="0" w:lastRow="0" w:firstColumn="0" w:lastColumn="0" w:oddVBand="0" w:evenVBand="0" w:oddHBand="0" w:evenHBand="0" w:firstRowFirstColumn="0" w:firstRowLastColumn="0" w:lastRowFirstColumn="0" w:lastRowLastColumn="0"/>
            </w:pPr>
            <w:r w:rsidRPr="009766A7">
              <w:t>2.6</w:t>
            </w:r>
          </w:p>
        </w:tc>
        <w:tc>
          <w:tcPr>
            <w:tcW w:w="772" w:type="pct"/>
            <w:shd w:val="clear" w:color="auto" w:fill="FFFFFF" w:themeFill="background1"/>
          </w:tcPr>
          <w:p w14:paraId="0104F348" w14:textId="77777777" w:rsidR="009F6677" w:rsidRPr="009766A7" w:rsidRDefault="009F6677" w:rsidP="00BC1EC5">
            <w:pPr>
              <w:keepNext/>
              <w:spacing w:before="40" w:after="40"/>
              <w:jc w:val="center"/>
              <w:cnfStyle w:val="000000000000" w:firstRow="0" w:lastRow="0" w:firstColumn="0" w:lastColumn="0" w:oddVBand="0" w:evenVBand="0" w:oddHBand="0" w:evenHBand="0" w:firstRowFirstColumn="0" w:firstRowLastColumn="0" w:lastRowFirstColumn="0" w:lastRowLastColumn="0"/>
            </w:pPr>
            <w:r w:rsidRPr="009766A7">
              <w:t>2.5</w:t>
            </w:r>
          </w:p>
        </w:tc>
      </w:tr>
      <w:tr w:rsidR="009F6677" w:rsidRPr="00BA0BD0" w14:paraId="3B4CE8B2" w14:textId="77777777" w:rsidTr="00BC1EC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03" w:type="pct"/>
            <w:shd w:val="clear" w:color="auto" w:fill="9FE4FF"/>
          </w:tcPr>
          <w:p w14:paraId="312C0506" w14:textId="77777777" w:rsidR="009F6677" w:rsidRPr="009766A7" w:rsidRDefault="009F6677" w:rsidP="00BC1EC5">
            <w:pPr>
              <w:keepNext/>
              <w:spacing w:before="40" w:after="40"/>
              <w:jc w:val="center"/>
              <w:rPr>
                <w:b w:val="0"/>
              </w:rPr>
            </w:pPr>
            <w:r w:rsidRPr="009766A7">
              <w:rPr>
                <w:b w:val="0"/>
              </w:rPr>
              <w:t>Particulate Matter PM</w:t>
            </w:r>
            <w:r w:rsidRPr="009766A7">
              <w:rPr>
                <w:b w:val="0"/>
                <w:szCs w:val="20"/>
                <w:vertAlign w:val="subscript"/>
              </w:rPr>
              <w:t>2.5</w:t>
            </w:r>
          </w:p>
        </w:tc>
        <w:tc>
          <w:tcPr>
            <w:tcW w:w="775" w:type="pct"/>
            <w:shd w:val="clear" w:color="auto" w:fill="9FE4FF"/>
          </w:tcPr>
          <w:p w14:paraId="00C99332" w14:textId="77777777" w:rsidR="009F6677" w:rsidRPr="009766A7" w:rsidRDefault="009F6677" w:rsidP="00BC1EC5">
            <w:pPr>
              <w:keepNext/>
              <w:spacing w:before="40" w:after="40"/>
              <w:jc w:val="center"/>
              <w:cnfStyle w:val="000000100000" w:firstRow="0" w:lastRow="0" w:firstColumn="0" w:lastColumn="0" w:oddVBand="0" w:evenVBand="0" w:oddHBand="1" w:evenHBand="0" w:firstRowFirstColumn="0" w:firstRowLastColumn="0" w:lastRowFirstColumn="0" w:lastRowLastColumn="0"/>
            </w:pPr>
            <w:r w:rsidRPr="009766A7">
              <w:t>1.8</w:t>
            </w:r>
          </w:p>
        </w:tc>
        <w:tc>
          <w:tcPr>
            <w:tcW w:w="775" w:type="pct"/>
            <w:shd w:val="clear" w:color="auto" w:fill="9FE4FF"/>
          </w:tcPr>
          <w:p w14:paraId="50209ABD" w14:textId="77777777" w:rsidR="009F6677" w:rsidRPr="009766A7" w:rsidRDefault="009F6677" w:rsidP="00BC1EC5">
            <w:pPr>
              <w:keepNext/>
              <w:spacing w:before="40" w:after="40"/>
              <w:jc w:val="center"/>
              <w:cnfStyle w:val="000000100000" w:firstRow="0" w:lastRow="0" w:firstColumn="0" w:lastColumn="0" w:oddVBand="0" w:evenVBand="0" w:oddHBand="1" w:evenHBand="0" w:firstRowFirstColumn="0" w:firstRowLastColumn="0" w:lastRowFirstColumn="0" w:lastRowLastColumn="0"/>
            </w:pPr>
            <w:r w:rsidRPr="009766A7">
              <w:t>1.7</w:t>
            </w:r>
          </w:p>
        </w:tc>
        <w:tc>
          <w:tcPr>
            <w:tcW w:w="775" w:type="pct"/>
            <w:shd w:val="clear" w:color="auto" w:fill="9FE4FF"/>
          </w:tcPr>
          <w:p w14:paraId="0DDD19A2" w14:textId="77777777" w:rsidR="009F6677" w:rsidRPr="009766A7" w:rsidRDefault="009F6677" w:rsidP="00BC1EC5">
            <w:pPr>
              <w:keepNext/>
              <w:spacing w:before="40" w:after="40"/>
              <w:jc w:val="center"/>
              <w:cnfStyle w:val="000000100000" w:firstRow="0" w:lastRow="0" w:firstColumn="0" w:lastColumn="0" w:oddVBand="0" w:evenVBand="0" w:oddHBand="1" w:evenHBand="0" w:firstRowFirstColumn="0" w:firstRowLastColumn="0" w:lastRowFirstColumn="0" w:lastRowLastColumn="0"/>
            </w:pPr>
            <w:r w:rsidRPr="009766A7">
              <w:t>1.7</w:t>
            </w:r>
          </w:p>
        </w:tc>
        <w:tc>
          <w:tcPr>
            <w:tcW w:w="772" w:type="pct"/>
            <w:shd w:val="clear" w:color="auto" w:fill="9FE4FF"/>
          </w:tcPr>
          <w:p w14:paraId="762D1A0A" w14:textId="77777777" w:rsidR="009F6677" w:rsidRPr="009766A7" w:rsidRDefault="009F6677" w:rsidP="00BC1EC5">
            <w:pPr>
              <w:keepNext/>
              <w:spacing w:before="40" w:after="40"/>
              <w:jc w:val="center"/>
              <w:cnfStyle w:val="000000100000" w:firstRow="0" w:lastRow="0" w:firstColumn="0" w:lastColumn="0" w:oddVBand="0" w:evenVBand="0" w:oddHBand="1" w:evenHBand="0" w:firstRowFirstColumn="0" w:firstRowLastColumn="0" w:lastRowFirstColumn="0" w:lastRowLastColumn="0"/>
            </w:pPr>
            <w:r w:rsidRPr="009766A7">
              <w:t>1.5</w:t>
            </w:r>
          </w:p>
        </w:tc>
      </w:tr>
    </w:tbl>
    <w:p w14:paraId="1087C045" w14:textId="51D69B38" w:rsidR="00340745" w:rsidRPr="00F65760" w:rsidRDefault="00340745" w:rsidP="00340745">
      <w:pPr>
        <w:rPr>
          <w:rFonts w:asciiTheme="minorHAnsi" w:hAnsiTheme="minorHAnsi" w:cstheme="minorHAnsi"/>
          <w:sz w:val="18"/>
          <w:szCs w:val="16"/>
          <w:shd w:val="clear" w:color="auto" w:fill="FFFFFF"/>
        </w:rPr>
      </w:pPr>
      <w:r w:rsidRPr="00F65760">
        <w:rPr>
          <w:rFonts w:asciiTheme="minorHAnsi" w:hAnsiTheme="minorHAnsi" w:cstheme="minorHAnsi"/>
          <w:b/>
          <w:i/>
          <w:sz w:val="18"/>
          <w:szCs w:val="16"/>
        </w:rPr>
        <w:t>Note:</w:t>
      </w:r>
      <w:r w:rsidRPr="00F65760">
        <w:rPr>
          <w:rFonts w:asciiTheme="minorHAnsi" w:hAnsiTheme="minorHAnsi" w:cstheme="minorHAnsi"/>
          <w:sz w:val="18"/>
          <w:szCs w:val="16"/>
        </w:rPr>
        <w:t xml:space="preserve"> Particulate matter, is a term that describes extremely small solid particles and liquid droplets suspended in air. Particulate matter can be made up of a variety of components including </w:t>
      </w:r>
      <w:r w:rsidR="007A1F10">
        <w:rPr>
          <w:rFonts w:asciiTheme="minorHAnsi" w:hAnsiTheme="minorHAnsi" w:cstheme="minorHAnsi"/>
          <w:sz w:val="18"/>
          <w:szCs w:val="16"/>
        </w:rPr>
        <w:t xml:space="preserve">combustion particles, </w:t>
      </w:r>
      <w:r w:rsidRPr="00F65760">
        <w:rPr>
          <w:rFonts w:asciiTheme="minorHAnsi" w:hAnsiTheme="minorHAnsi" w:cstheme="minorHAnsi"/>
          <w:sz w:val="18"/>
          <w:szCs w:val="16"/>
        </w:rPr>
        <w:t xml:space="preserve">nitrates, </w:t>
      </w:r>
      <w:r w:rsidR="0067265A">
        <w:rPr>
          <w:rFonts w:asciiTheme="minorHAnsi" w:hAnsiTheme="minorHAnsi" w:cstheme="minorHAnsi"/>
          <w:sz w:val="18"/>
          <w:szCs w:val="16"/>
        </w:rPr>
        <w:t>sulphates</w:t>
      </w:r>
      <w:r w:rsidRPr="00F65760">
        <w:rPr>
          <w:rFonts w:asciiTheme="minorHAnsi" w:hAnsiTheme="minorHAnsi" w:cstheme="minorHAnsi"/>
          <w:sz w:val="18"/>
          <w:szCs w:val="16"/>
        </w:rPr>
        <w:t xml:space="preserve">, organic chemicals, metals, soil or dust particles, and </w:t>
      </w:r>
      <w:r w:rsidRPr="00F65760">
        <w:rPr>
          <w:rFonts w:asciiTheme="minorHAnsi" w:hAnsiTheme="minorHAnsi" w:cstheme="minorHAnsi"/>
          <w:sz w:val="18"/>
          <w:szCs w:val="16"/>
        </w:rPr>
        <w:lastRenderedPageBreak/>
        <w:t>allergens (such as fragments of pollen or mould spores). Particle pollution mainly comes from motor vehicles, wood burning heaters and industry.</w:t>
      </w:r>
      <w:r w:rsidRPr="00F65760">
        <w:rPr>
          <w:rFonts w:asciiTheme="minorHAnsi" w:hAnsiTheme="minorHAnsi" w:cstheme="minorHAnsi"/>
          <w:sz w:val="18"/>
          <w:szCs w:val="16"/>
          <w:shd w:val="clear" w:color="auto" w:fill="FFFFFF"/>
        </w:rPr>
        <w:t>  PM</w:t>
      </w:r>
      <w:r w:rsidRPr="00F65760">
        <w:rPr>
          <w:rFonts w:asciiTheme="minorHAnsi" w:hAnsiTheme="minorHAnsi" w:cstheme="minorHAnsi"/>
          <w:sz w:val="18"/>
          <w:szCs w:val="16"/>
          <w:shd w:val="clear" w:color="auto" w:fill="FFFFFF"/>
          <w:vertAlign w:val="subscript"/>
        </w:rPr>
        <w:t>10</w:t>
      </w:r>
      <w:r w:rsidRPr="00F65760">
        <w:rPr>
          <w:rFonts w:asciiTheme="minorHAnsi" w:hAnsiTheme="minorHAnsi" w:cstheme="minorHAnsi"/>
          <w:sz w:val="18"/>
          <w:szCs w:val="16"/>
          <w:shd w:val="clear" w:color="auto" w:fill="FFFFFF"/>
        </w:rPr>
        <w:t> refers to particles smaller than 10 µm</w:t>
      </w:r>
      <w:r w:rsidR="007A1F10">
        <w:rPr>
          <w:rFonts w:asciiTheme="minorHAnsi" w:hAnsiTheme="minorHAnsi" w:cstheme="minorHAnsi"/>
          <w:sz w:val="18"/>
          <w:szCs w:val="16"/>
          <w:shd w:val="clear" w:color="auto" w:fill="FFFFFF"/>
        </w:rPr>
        <w:t xml:space="preserve"> and </w:t>
      </w:r>
      <w:r w:rsidRPr="00F65760">
        <w:rPr>
          <w:rFonts w:asciiTheme="minorHAnsi" w:hAnsiTheme="minorHAnsi" w:cstheme="minorHAnsi"/>
          <w:sz w:val="18"/>
          <w:szCs w:val="16"/>
          <w:shd w:val="clear" w:color="auto" w:fill="FFFFFF"/>
        </w:rPr>
        <w:t>PM</w:t>
      </w:r>
      <w:r w:rsidRPr="00F65760">
        <w:rPr>
          <w:rFonts w:asciiTheme="minorHAnsi" w:hAnsiTheme="minorHAnsi" w:cstheme="minorHAnsi"/>
          <w:sz w:val="18"/>
          <w:szCs w:val="16"/>
          <w:shd w:val="clear" w:color="auto" w:fill="FFFFFF"/>
          <w:vertAlign w:val="subscript"/>
        </w:rPr>
        <w:t>2.5</w:t>
      </w:r>
      <w:r w:rsidRPr="00F65760">
        <w:rPr>
          <w:rFonts w:asciiTheme="minorHAnsi" w:hAnsiTheme="minorHAnsi" w:cstheme="minorHAnsi"/>
          <w:sz w:val="18"/>
          <w:szCs w:val="16"/>
          <w:shd w:val="clear" w:color="auto" w:fill="FFFFFF"/>
        </w:rPr>
        <w:t xml:space="preserve"> refers to particles smaller than 2.5 µm. The smaller </w:t>
      </w:r>
      <w:r w:rsidR="007A1F10" w:rsidRPr="00F65760">
        <w:rPr>
          <w:rFonts w:asciiTheme="minorHAnsi" w:hAnsiTheme="minorHAnsi" w:cstheme="minorHAnsi"/>
          <w:sz w:val="18"/>
          <w:szCs w:val="16"/>
          <w:shd w:val="clear" w:color="auto" w:fill="FFFFFF"/>
        </w:rPr>
        <w:t>PM</w:t>
      </w:r>
      <w:r w:rsidR="007A1F10" w:rsidRPr="00F65760">
        <w:rPr>
          <w:rFonts w:asciiTheme="minorHAnsi" w:hAnsiTheme="minorHAnsi" w:cstheme="minorHAnsi"/>
          <w:sz w:val="18"/>
          <w:szCs w:val="16"/>
          <w:shd w:val="clear" w:color="auto" w:fill="FFFFFF"/>
          <w:vertAlign w:val="subscript"/>
        </w:rPr>
        <w:t>2.5</w:t>
      </w:r>
      <w:r w:rsidR="007A1F10">
        <w:rPr>
          <w:rFonts w:asciiTheme="minorHAnsi" w:hAnsiTheme="minorHAnsi" w:cstheme="minorHAnsi"/>
          <w:sz w:val="18"/>
          <w:szCs w:val="16"/>
          <w:shd w:val="clear" w:color="auto" w:fill="FFFFFF"/>
          <w:vertAlign w:val="subscript"/>
        </w:rPr>
        <w:t xml:space="preserve"> </w:t>
      </w:r>
      <w:r w:rsidRPr="00F65760">
        <w:rPr>
          <w:rFonts w:asciiTheme="minorHAnsi" w:hAnsiTheme="minorHAnsi" w:cstheme="minorHAnsi"/>
          <w:sz w:val="18"/>
          <w:szCs w:val="16"/>
          <w:shd w:val="clear" w:color="auto" w:fill="FFFFFF"/>
        </w:rPr>
        <w:t xml:space="preserve">particles </w:t>
      </w:r>
      <w:r w:rsidR="007A1F10">
        <w:rPr>
          <w:rFonts w:asciiTheme="minorHAnsi" w:hAnsiTheme="minorHAnsi" w:cstheme="minorHAnsi"/>
          <w:sz w:val="18"/>
          <w:szCs w:val="16"/>
          <w:shd w:val="clear" w:color="auto" w:fill="FFFFFF"/>
        </w:rPr>
        <w:t xml:space="preserve">usually have greater amount of </w:t>
      </w:r>
      <w:r w:rsidRPr="00F65760">
        <w:rPr>
          <w:rFonts w:asciiTheme="minorHAnsi" w:hAnsiTheme="minorHAnsi" w:cstheme="minorHAnsi"/>
          <w:sz w:val="18"/>
          <w:szCs w:val="16"/>
          <w:shd w:val="clear" w:color="auto" w:fill="FFFFFF"/>
        </w:rPr>
        <w:t>combustion particles. Particles less than 10 micromet</w:t>
      </w:r>
      <w:r w:rsidR="004F5E92">
        <w:rPr>
          <w:rFonts w:asciiTheme="minorHAnsi" w:hAnsiTheme="minorHAnsi" w:cstheme="minorHAnsi"/>
          <w:sz w:val="18"/>
          <w:szCs w:val="16"/>
          <w:shd w:val="clear" w:color="auto" w:fill="FFFFFF"/>
        </w:rPr>
        <w:t>re</w:t>
      </w:r>
      <w:r w:rsidRPr="00F65760">
        <w:rPr>
          <w:rFonts w:asciiTheme="minorHAnsi" w:hAnsiTheme="minorHAnsi" w:cstheme="minorHAnsi"/>
          <w:sz w:val="18"/>
          <w:szCs w:val="16"/>
          <w:shd w:val="clear" w:color="auto" w:fill="FFFFFF"/>
        </w:rPr>
        <w:t xml:space="preserve">s in diameter can get deep into your lungs and some may even get into your bloodstream. Of these, </w:t>
      </w:r>
      <w:r w:rsidR="003F27C3" w:rsidRPr="00F65760">
        <w:rPr>
          <w:rFonts w:asciiTheme="minorHAnsi" w:hAnsiTheme="minorHAnsi" w:cstheme="minorHAnsi"/>
          <w:sz w:val="18"/>
          <w:szCs w:val="16"/>
          <w:shd w:val="clear" w:color="auto" w:fill="FFFFFF"/>
        </w:rPr>
        <w:t>PM</w:t>
      </w:r>
      <w:r w:rsidR="003F27C3" w:rsidRPr="00F65760">
        <w:rPr>
          <w:rFonts w:asciiTheme="minorHAnsi" w:hAnsiTheme="minorHAnsi" w:cstheme="minorHAnsi"/>
          <w:sz w:val="18"/>
          <w:szCs w:val="16"/>
          <w:shd w:val="clear" w:color="auto" w:fill="FFFFFF"/>
          <w:vertAlign w:val="subscript"/>
        </w:rPr>
        <w:t>2.5</w:t>
      </w:r>
      <w:r w:rsidR="003F27C3" w:rsidRPr="00F65760">
        <w:rPr>
          <w:rFonts w:asciiTheme="minorHAnsi" w:hAnsiTheme="minorHAnsi" w:cstheme="minorHAnsi"/>
          <w:sz w:val="18"/>
          <w:szCs w:val="16"/>
          <w:shd w:val="clear" w:color="auto" w:fill="FFFFFF"/>
        </w:rPr>
        <w:t xml:space="preserve"> </w:t>
      </w:r>
      <w:r w:rsidR="003F27C3">
        <w:rPr>
          <w:rFonts w:asciiTheme="minorHAnsi" w:hAnsiTheme="minorHAnsi" w:cstheme="minorHAnsi"/>
          <w:sz w:val="18"/>
          <w:szCs w:val="16"/>
          <w:shd w:val="clear" w:color="auto" w:fill="FFFFFF"/>
        </w:rPr>
        <w:t>pose</w:t>
      </w:r>
      <w:r w:rsidRPr="00F65760">
        <w:rPr>
          <w:rFonts w:asciiTheme="minorHAnsi" w:hAnsiTheme="minorHAnsi" w:cstheme="minorHAnsi"/>
          <w:sz w:val="18"/>
          <w:szCs w:val="16"/>
          <w:shd w:val="clear" w:color="auto" w:fill="FFFFFF"/>
        </w:rPr>
        <w:t xml:space="preserve"> the greatest risk to health. </w:t>
      </w:r>
      <w:r w:rsidR="007A1F10">
        <w:rPr>
          <w:rFonts w:asciiTheme="minorHAnsi" w:hAnsiTheme="minorHAnsi" w:cstheme="minorHAnsi"/>
          <w:sz w:val="18"/>
          <w:szCs w:val="16"/>
          <w:shd w:val="clear" w:color="auto" w:fill="FFFFFF"/>
        </w:rPr>
        <w:t xml:space="preserve">Air pollution </w:t>
      </w:r>
      <w:r w:rsidRPr="00F65760">
        <w:rPr>
          <w:rFonts w:asciiTheme="minorHAnsi" w:hAnsiTheme="minorHAnsi" w:cstheme="minorHAnsi"/>
          <w:sz w:val="18"/>
          <w:szCs w:val="16"/>
          <w:shd w:val="clear" w:color="auto" w:fill="FFFFFF"/>
        </w:rPr>
        <w:t xml:space="preserve">can also cause environmental </w:t>
      </w:r>
      <w:r w:rsidR="007A1F10">
        <w:rPr>
          <w:rFonts w:asciiTheme="minorHAnsi" w:hAnsiTheme="minorHAnsi" w:cstheme="minorHAnsi"/>
          <w:sz w:val="18"/>
          <w:szCs w:val="16"/>
          <w:shd w:val="clear" w:color="auto" w:fill="FFFFFF"/>
        </w:rPr>
        <w:t xml:space="preserve">harm </w:t>
      </w:r>
      <w:r w:rsidRPr="00F65760">
        <w:rPr>
          <w:rFonts w:asciiTheme="minorHAnsi" w:hAnsiTheme="minorHAnsi" w:cstheme="minorHAnsi"/>
          <w:sz w:val="18"/>
          <w:szCs w:val="16"/>
          <w:shd w:val="clear" w:color="auto" w:fill="FFFFFF"/>
        </w:rPr>
        <w:t xml:space="preserve">by </w:t>
      </w:r>
      <w:r w:rsidR="007A1F10">
        <w:rPr>
          <w:rFonts w:asciiTheme="minorHAnsi" w:hAnsiTheme="minorHAnsi" w:cstheme="minorHAnsi"/>
          <w:sz w:val="18"/>
          <w:szCs w:val="16"/>
          <w:shd w:val="clear" w:color="auto" w:fill="FFFFFF"/>
        </w:rPr>
        <w:t>polluting waterways and affecting nearby vegetation.</w:t>
      </w:r>
      <w:r w:rsidRPr="00F65760">
        <w:rPr>
          <w:rFonts w:asciiTheme="minorHAnsi" w:hAnsiTheme="minorHAnsi" w:cstheme="minorHAnsi"/>
          <w:sz w:val="18"/>
          <w:szCs w:val="16"/>
          <w:shd w:val="clear" w:color="auto" w:fill="FFFFFF"/>
        </w:rPr>
        <w:t xml:space="preserve"> </w:t>
      </w:r>
    </w:p>
    <w:p w14:paraId="52E755EF" w14:textId="77777777" w:rsidR="00754C13" w:rsidRDefault="00754C13" w:rsidP="005D66F0">
      <w:pPr>
        <w:rPr>
          <w:rFonts w:asciiTheme="minorHAnsi" w:hAnsiTheme="minorHAnsi" w:cstheme="minorHAnsi"/>
          <w:b/>
          <w:color w:val="00A9EF"/>
          <w:sz w:val="32"/>
          <w:szCs w:val="32"/>
        </w:rPr>
      </w:pPr>
      <w:r w:rsidRPr="00754C13">
        <w:rPr>
          <w:rFonts w:asciiTheme="minorHAnsi" w:hAnsiTheme="minorHAnsi" w:cstheme="minorHAnsi"/>
          <w:b/>
          <w:color w:val="00A9EF"/>
          <w:sz w:val="32"/>
          <w:szCs w:val="32"/>
        </w:rPr>
        <w:t xml:space="preserve">Noise pollution </w:t>
      </w:r>
    </w:p>
    <w:p w14:paraId="0A79C727" w14:textId="4EC3E191" w:rsidR="0094749B" w:rsidRDefault="0094749B" w:rsidP="00BC1EC5">
      <w:pPr>
        <w:rPr>
          <w:rStyle w:val="Strong"/>
          <w:b w:val="0"/>
        </w:rPr>
      </w:pPr>
      <w:r>
        <w:rPr>
          <w:rStyle w:val="Strong"/>
          <w:b w:val="0"/>
        </w:rPr>
        <w:t xml:space="preserve">Updated data </w:t>
      </w:r>
      <w:r w:rsidR="000944DA">
        <w:rPr>
          <w:rStyle w:val="Strong"/>
          <w:b w:val="0"/>
        </w:rPr>
        <w:t xml:space="preserve">from 2018 on </w:t>
      </w:r>
      <w:r>
        <w:rPr>
          <w:rStyle w:val="Strong"/>
          <w:b w:val="0"/>
        </w:rPr>
        <w:t xml:space="preserve">will not be available until later in the year, therefore, we can only report on 2017 data. </w:t>
      </w:r>
    </w:p>
    <w:p w14:paraId="0FD88599" w14:textId="6E83FC46" w:rsidR="00BC1EC5" w:rsidRPr="00BC1EC5" w:rsidRDefault="00BC1EC5" w:rsidP="00BC1EC5">
      <w:pPr>
        <w:rPr>
          <w:rStyle w:val="Strong"/>
          <w:b w:val="0"/>
        </w:rPr>
      </w:pPr>
      <w:r w:rsidRPr="00BC1EC5">
        <w:rPr>
          <w:rStyle w:val="Strong"/>
          <w:b w:val="0"/>
        </w:rPr>
        <w:t xml:space="preserve">In 2017, </w:t>
      </w:r>
      <w:r w:rsidR="007A1F10">
        <w:rPr>
          <w:rStyle w:val="Strong"/>
          <w:b w:val="0"/>
        </w:rPr>
        <w:t>a</w:t>
      </w:r>
      <w:r w:rsidR="0022519E">
        <w:rPr>
          <w:rStyle w:val="Strong"/>
          <w:b w:val="0"/>
        </w:rPr>
        <w:t xml:space="preserve">pproximately </w:t>
      </w:r>
      <w:r w:rsidR="007A1F10">
        <w:rPr>
          <w:rStyle w:val="Strong"/>
          <w:b w:val="0"/>
        </w:rPr>
        <w:t>38,000</w:t>
      </w:r>
      <w:r w:rsidRPr="00BC1EC5">
        <w:rPr>
          <w:rStyle w:val="Strong"/>
          <w:b w:val="0"/>
        </w:rPr>
        <w:t xml:space="preserve"> people were exposed to land transport noise equal or more than 64</w:t>
      </w:r>
      <w:r w:rsidRPr="00BC1EC5">
        <w:rPr>
          <w:b/>
        </w:rPr>
        <w:t xml:space="preserve"> </w:t>
      </w:r>
      <w:r w:rsidRPr="00BC1EC5">
        <w:rPr>
          <w:rStyle w:val="Strong"/>
          <w:b w:val="0"/>
        </w:rPr>
        <w:t xml:space="preserve">LAeq (A weighted equivalent continuous sound level in decibels) measured over 24 hours. </w:t>
      </w:r>
    </w:p>
    <w:p w14:paraId="0089F4E9" w14:textId="7A432A70" w:rsidR="00BC1EC5" w:rsidRDefault="00BC1EC5" w:rsidP="00BC1EC5">
      <w:pPr>
        <w:rPr>
          <w:rStyle w:val="Strong"/>
          <w:b w:val="0"/>
        </w:rPr>
      </w:pPr>
      <w:r w:rsidRPr="00BC1EC5">
        <w:rPr>
          <w:rStyle w:val="Strong"/>
          <w:b w:val="0"/>
        </w:rPr>
        <w:t>Regional breakdowns of this data show that the number of people exposed to high levels of land transport noise is highest in Auckland and Wellington. Currently this measure includes only road but in future is expected to also include rail.</w:t>
      </w:r>
    </w:p>
    <w:p w14:paraId="7DC00BB6" w14:textId="484DBB1F" w:rsidR="0022519E" w:rsidRPr="0022519E" w:rsidRDefault="0022519E" w:rsidP="00BC1EC5">
      <w:pPr>
        <w:rPr>
          <w:rStyle w:val="Strong"/>
          <w:rFonts w:asciiTheme="minorHAnsi" w:hAnsiTheme="minorHAnsi" w:cstheme="minorHAnsi"/>
          <w:b w:val="0"/>
          <w:sz w:val="18"/>
        </w:rPr>
      </w:pPr>
      <w:r w:rsidRPr="0022519E">
        <w:rPr>
          <w:rStyle w:val="Strong"/>
          <w:rFonts w:asciiTheme="minorHAnsi" w:hAnsiTheme="minorHAnsi" w:cstheme="minorHAnsi"/>
          <w:sz w:val="18"/>
        </w:rPr>
        <w:t xml:space="preserve">Note: </w:t>
      </w:r>
      <w:r w:rsidRPr="0022519E">
        <w:rPr>
          <w:rStyle w:val="Strong"/>
          <w:rFonts w:asciiTheme="minorHAnsi" w:hAnsiTheme="minorHAnsi" w:cstheme="minorHAnsi"/>
          <w:b w:val="0"/>
          <w:sz w:val="18"/>
        </w:rPr>
        <w:t xml:space="preserve">As population increases, more people will be near state highway routes and local roads, and therefore, more will be exposed to noise. Also vehicle kilometre travelled (VKT) has been increasing so potentially more traffic noise where there is relevant exposure. </w:t>
      </w:r>
    </w:p>
    <w:p w14:paraId="47853635" w14:textId="27DFD984" w:rsidR="00754C13" w:rsidRDefault="00EE41D9" w:rsidP="00754C13">
      <w:r>
        <w:rPr>
          <w:noProof/>
          <w:lang w:eastAsia="en-NZ"/>
        </w:rPr>
        <w:drawing>
          <wp:inline distT="0" distB="0" distL="0" distR="0" wp14:anchorId="51A85C44" wp14:editId="3AF0E07F">
            <wp:extent cx="6671333" cy="2743200"/>
            <wp:effectExtent l="0" t="0" r="1524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tbl>
      <w:tblPr>
        <w:tblpPr w:leftFromText="180" w:rightFromText="180" w:vertAnchor="text" w:horzAnchor="margin" w:tblpY="161"/>
        <w:tblOverlap w:val="never"/>
        <w:tblW w:w="10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78"/>
      </w:tblGrid>
      <w:tr w:rsidR="0022519E" w:rsidRPr="00BA0BD0" w14:paraId="3F09935F" w14:textId="77777777" w:rsidTr="0022519E">
        <w:trPr>
          <w:trHeight w:val="3392"/>
        </w:trPr>
        <w:tc>
          <w:tcPr>
            <w:tcW w:w="0" w:type="auto"/>
            <w:shd w:val="clear" w:color="auto" w:fill="D9D9D9" w:themeFill="background1" w:themeFillShade="D9"/>
          </w:tcPr>
          <w:p w14:paraId="163E6E6A" w14:textId="77777777" w:rsidR="0022519E" w:rsidRPr="009F6677" w:rsidRDefault="0022519E" w:rsidP="0022519E">
            <w:pPr>
              <w:keepNext/>
              <w:rPr>
                <w:rFonts w:asciiTheme="minorHAnsi" w:hAnsiTheme="minorHAnsi"/>
                <w:b/>
                <w:color w:val="000000" w:themeColor="text1"/>
                <w:sz w:val="16"/>
                <w:szCs w:val="20"/>
              </w:rPr>
            </w:pPr>
            <w:r w:rsidRPr="009F6677">
              <w:rPr>
                <w:rFonts w:asciiTheme="minorHAnsi" w:hAnsiTheme="minorHAnsi"/>
                <w:b/>
                <w:color w:val="000000" w:themeColor="text1"/>
                <w:sz w:val="16"/>
                <w:szCs w:val="20"/>
              </w:rPr>
              <w:t>About these indicators</w:t>
            </w:r>
          </w:p>
          <w:p w14:paraId="741E8BFB" w14:textId="77777777" w:rsidR="0022519E" w:rsidRPr="009F6677" w:rsidRDefault="0022519E" w:rsidP="0022519E">
            <w:pPr>
              <w:pStyle w:val="BodyText"/>
              <w:spacing w:before="120" w:after="120"/>
              <w:ind w:right="6"/>
              <w:rPr>
                <w:rFonts w:asciiTheme="minorHAnsi" w:eastAsiaTheme="minorHAnsi" w:hAnsiTheme="minorHAnsi"/>
                <w:b/>
                <w:bCs/>
                <w:color w:val="000000" w:themeColor="text1"/>
                <w:sz w:val="16"/>
                <w:szCs w:val="20"/>
              </w:rPr>
            </w:pPr>
            <w:r w:rsidRPr="009F6677">
              <w:rPr>
                <w:rFonts w:asciiTheme="minorHAnsi" w:eastAsiaTheme="minorHAnsi" w:hAnsiTheme="minorHAnsi"/>
                <w:b/>
                <w:bCs/>
                <w:color w:val="000000" w:themeColor="text1"/>
                <w:sz w:val="16"/>
                <w:szCs w:val="20"/>
              </w:rPr>
              <w:t xml:space="preserve">Greenhouse gas emissions: </w:t>
            </w:r>
          </w:p>
          <w:p w14:paraId="52ED1438" w14:textId="2EF86011" w:rsidR="0022519E" w:rsidRPr="008270BE" w:rsidRDefault="0022519E" w:rsidP="0022519E">
            <w:pPr>
              <w:pStyle w:val="BodyText"/>
              <w:spacing w:before="120" w:after="120"/>
              <w:ind w:right="6"/>
              <w:rPr>
                <w:rFonts w:asciiTheme="minorHAnsi" w:hAnsiTheme="minorHAnsi"/>
                <w:sz w:val="16"/>
                <w:szCs w:val="20"/>
              </w:rPr>
            </w:pPr>
            <w:r w:rsidRPr="009F6677">
              <w:rPr>
                <w:rFonts w:asciiTheme="minorHAnsi" w:hAnsiTheme="minorHAnsi"/>
                <w:i/>
                <w:sz w:val="16"/>
                <w:szCs w:val="20"/>
              </w:rPr>
              <w:t>Data source</w:t>
            </w:r>
            <w:r w:rsidRPr="009F6677">
              <w:rPr>
                <w:rFonts w:asciiTheme="minorHAnsi" w:hAnsiTheme="minorHAnsi"/>
                <w:sz w:val="16"/>
                <w:szCs w:val="20"/>
              </w:rPr>
              <w:t>: Waka Kotahi. Road transport carbon dioxide emissions were derived from the Waka Kotahi National Vehicle Emission database which takes into account the vehicle fleet profile and travel on all roads in New Zealand. The calculation method</w:t>
            </w:r>
            <w:r>
              <w:rPr>
                <w:rFonts w:asciiTheme="minorHAnsi" w:hAnsiTheme="minorHAnsi"/>
                <w:sz w:val="16"/>
                <w:szCs w:val="20"/>
              </w:rPr>
              <w:t xml:space="preserve">, based on emissions factors from the New Zealand Vehicle Emission Prediction </w:t>
            </w:r>
            <w:r w:rsidRPr="008270BE">
              <w:rPr>
                <w:rFonts w:asciiTheme="minorHAnsi" w:hAnsiTheme="minorHAnsi"/>
                <w:sz w:val="16"/>
                <w:szCs w:val="20"/>
              </w:rPr>
              <w:t>Model, is different to that which the Ministry for the Environment uses for the national greenhouse gas emissions inventory, so the numbers from the two methods are not directly comparable. This method has the advantage of providing both national and regional estimates.</w:t>
            </w:r>
          </w:p>
          <w:p w14:paraId="6C2D81E1" w14:textId="77777777" w:rsidR="0022519E" w:rsidRPr="008270BE" w:rsidRDefault="0022519E" w:rsidP="0022519E">
            <w:pPr>
              <w:pStyle w:val="BodyText"/>
              <w:spacing w:before="120" w:after="120"/>
              <w:ind w:right="6"/>
              <w:rPr>
                <w:rFonts w:asciiTheme="minorHAnsi" w:hAnsiTheme="minorHAnsi"/>
                <w:sz w:val="16"/>
                <w:szCs w:val="20"/>
              </w:rPr>
            </w:pPr>
            <w:r w:rsidRPr="008270BE">
              <w:rPr>
                <w:rFonts w:asciiTheme="minorHAnsi" w:hAnsiTheme="minorHAnsi" w:cstheme="minorHAnsi"/>
                <w:bCs/>
                <w:sz w:val="16"/>
                <w:szCs w:val="16"/>
              </w:rPr>
              <w:t>2016, 2017 and 2018 results were adjusted as Waka Kotahi updated the vehicle emissions prediction model in 2019 to better reflect the real-world situation.</w:t>
            </w:r>
          </w:p>
          <w:p w14:paraId="28DC9744" w14:textId="77777777" w:rsidR="0022519E" w:rsidRPr="008270BE" w:rsidRDefault="0022519E" w:rsidP="0022519E">
            <w:pPr>
              <w:pStyle w:val="Heading1"/>
              <w:ind w:left="0"/>
              <w:rPr>
                <w:rFonts w:asciiTheme="minorHAnsi" w:eastAsiaTheme="minorHAnsi" w:hAnsiTheme="minorHAnsi" w:cs="Arial"/>
                <w:bCs w:val="0"/>
                <w:sz w:val="16"/>
                <w:szCs w:val="20"/>
              </w:rPr>
            </w:pPr>
            <w:r w:rsidRPr="008270BE">
              <w:rPr>
                <w:rFonts w:asciiTheme="minorHAnsi" w:eastAsiaTheme="minorHAnsi" w:hAnsiTheme="minorHAnsi" w:cs="Arial"/>
                <w:sz w:val="16"/>
                <w:szCs w:val="20"/>
              </w:rPr>
              <w:t xml:space="preserve">Noise pollution: </w:t>
            </w:r>
          </w:p>
          <w:p w14:paraId="31A3CF5D" w14:textId="77777777" w:rsidR="0022519E" w:rsidRPr="008270BE" w:rsidRDefault="0022519E" w:rsidP="0022519E">
            <w:pPr>
              <w:pStyle w:val="BodyText"/>
              <w:spacing w:before="120" w:after="120"/>
              <w:ind w:right="6"/>
              <w:rPr>
                <w:rFonts w:asciiTheme="minorHAnsi" w:hAnsiTheme="minorHAnsi"/>
                <w:sz w:val="16"/>
                <w:szCs w:val="20"/>
              </w:rPr>
            </w:pPr>
            <w:r w:rsidRPr="008270BE">
              <w:rPr>
                <w:rFonts w:asciiTheme="minorHAnsi" w:hAnsiTheme="minorHAnsi"/>
                <w:i/>
                <w:sz w:val="16"/>
                <w:szCs w:val="20"/>
              </w:rPr>
              <w:t>Data source</w:t>
            </w:r>
            <w:r w:rsidRPr="008270BE">
              <w:rPr>
                <w:rFonts w:asciiTheme="minorHAnsi" w:hAnsiTheme="minorHAnsi"/>
                <w:sz w:val="16"/>
                <w:szCs w:val="20"/>
              </w:rPr>
              <w:t xml:space="preserve">: Waka Kotahi. The figures are based on exposure to noise ≥64LAeq (A-weighted equivalent continuous sound level in decibels) measured over 24 hours. </w:t>
            </w:r>
          </w:p>
          <w:p w14:paraId="7456FD72" w14:textId="77777777" w:rsidR="0022519E" w:rsidRPr="008270BE" w:rsidRDefault="0022519E" w:rsidP="0022519E">
            <w:pPr>
              <w:rPr>
                <w:rFonts w:asciiTheme="minorHAnsi" w:hAnsiTheme="minorHAnsi"/>
                <w:b/>
                <w:sz w:val="16"/>
                <w:szCs w:val="20"/>
              </w:rPr>
            </w:pPr>
            <w:r w:rsidRPr="008270BE">
              <w:rPr>
                <w:rFonts w:asciiTheme="minorHAnsi" w:hAnsiTheme="minorHAnsi"/>
                <w:b/>
                <w:sz w:val="16"/>
                <w:szCs w:val="20"/>
              </w:rPr>
              <w:t xml:space="preserve">Tonnes of harmful emissions emitted per year from land transport (kilo tonnes/ year):  </w:t>
            </w:r>
          </w:p>
          <w:p w14:paraId="4845F660" w14:textId="0FEEB623" w:rsidR="0022519E" w:rsidRPr="007F01F6" w:rsidRDefault="0022519E" w:rsidP="0022519E">
            <w:pPr>
              <w:rPr>
                <w:rFonts w:eastAsiaTheme="majorEastAsia"/>
                <w:b/>
                <w:color w:val="5B9BD5" w:themeColor="accent1"/>
                <w:sz w:val="32"/>
                <w:szCs w:val="32"/>
              </w:rPr>
            </w:pPr>
            <w:r w:rsidRPr="008270BE">
              <w:rPr>
                <w:rFonts w:asciiTheme="minorHAnsi" w:hAnsiTheme="minorHAnsi"/>
                <w:bCs/>
                <w:i/>
                <w:sz w:val="16"/>
                <w:szCs w:val="20"/>
              </w:rPr>
              <w:t xml:space="preserve">Data Source: </w:t>
            </w:r>
            <w:r w:rsidRPr="008270BE">
              <w:rPr>
                <w:rFonts w:asciiTheme="minorHAnsi" w:hAnsiTheme="minorHAnsi"/>
                <w:bCs/>
                <w:sz w:val="16"/>
                <w:szCs w:val="20"/>
              </w:rPr>
              <w:t xml:space="preserve">Waka Kotahi. </w:t>
            </w:r>
            <w:r w:rsidRPr="008270BE">
              <w:rPr>
                <w:rFonts w:asciiTheme="minorHAnsi" w:hAnsiTheme="minorHAnsi"/>
                <w:sz w:val="16"/>
                <w:szCs w:val="20"/>
              </w:rPr>
              <w:t xml:space="preserve"> Road transport harmful emissions were derived from the Waka Kotahi National Vehicle Emission database which takes into account the vehicle fleet profile and travel on all roads in New Zealand. </w:t>
            </w:r>
            <w:r w:rsidRPr="008270BE">
              <w:rPr>
                <w:rFonts w:asciiTheme="minorHAnsi" w:hAnsiTheme="minorHAnsi"/>
                <w:bCs/>
                <w:sz w:val="16"/>
                <w:szCs w:val="20"/>
              </w:rPr>
              <w:t xml:space="preserve"> </w:t>
            </w:r>
            <w:r w:rsidRPr="008270BE">
              <w:rPr>
                <w:rFonts w:asciiTheme="minorHAnsi" w:hAnsiTheme="minorHAnsi"/>
                <w:sz w:val="16"/>
                <w:szCs w:val="20"/>
              </w:rPr>
              <w:t xml:space="preserve"> The calculation method is based on emissions factors from the</w:t>
            </w:r>
            <w:r w:rsidRPr="008270BE">
              <w:t xml:space="preserve"> </w:t>
            </w:r>
            <w:r w:rsidRPr="008270BE">
              <w:rPr>
                <w:rFonts w:asciiTheme="minorHAnsi" w:hAnsiTheme="minorHAnsi"/>
                <w:sz w:val="16"/>
                <w:szCs w:val="20"/>
              </w:rPr>
              <w:t xml:space="preserve">New Zealand Vehicle Emission Prediction Model, </w:t>
            </w:r>
            <w:r w:rsidRPr="008270BE">
              <w:rPr>
                <w:sz w:val="16"/>
              </w:rPr>
              <w:t xml:space="preserve"> </w:t>
            </w:r>
          </w:p>
        </w:tc>
      </w:tr>
    </w:tbl>
    <w:p w14:paraId="76A55DEB" w14:textId="77777777" w:rsidR="007A1F10" w:rsidRPr="009F6677" w:rsidRDefault="00754C13" w:rsidP="00754C13">
      <w:pPr>
        <w:rPr>
          <w:rFonts w:asciiTheme="minorHAnsi" w:hAnsiTheme="minorHAnsi"/>
          <w:sz w:val="16"/>
        </w:rPr>
      </w:pPr>
      <w:r w:rsidRPr="009F6677">
        <w:rPr>
          <w:rFonts w:asciiTheme="minorHAnsi" w:hAnsiTheme="minorHAnsi"/>
          <w:sz w:val="16"/>
        </w:rPr>
        <w:t xml:space="preserve"> </w:t>
      </w:r>
    </w:p>
    <w:p w14:paraId="248809F4" w14:textId="7B0C4398" w:rsidR="00CA2E33" w:rsidRPr="00DE511C" w:rsidRDefault="00CA2E33" w:rsidP="00CA2E33">
      <w:pPr>
        <w:pStyle w:val="Heading1"/>
        <w:ind w:left="0"/>
        <w:rPr>
          <w:color w:val="00A9EF"/>
        </w:rPr>
      </w:pPr>
      <w:bookmarkStart w:id="9" w:name="_Hlk70425552"/>
      <w:r w:rsidRPr="00DE511C">
        <w:rPr>
          <w:color w:val="00A9EF"/>
        </w:rPr>
        <w:t>Investment in environment</w:t>
      </w:r>
    </w:p>
    <w:p w14:paraId="11F2969B" w14:textId="54FDC78F" w:rsidR="00CA2E33" w:rsidRPr="00F424E5" w:rsidRDefault="00CA2E33" w:rsidP="00CA2E33">
      <w:r w:rsidRPr="00F424E5">
        <w:t>In 2019/20, a total of $</w:t>
      </w:r>
      <w:r>
        <w:t>693 m</w:t>
      </w:r>
      <w:r w:rsidRPr="00F424E5">
        <w:t xml:space="preserve">illion </w:t>
      </w:r>
      <w:r w:rsidR="00020119">
        <w:t xml:space="preserve">of </w:t>
      </w:r>
      <w:r w:rsidR="00216868">
        <w:t xml:space="preserve">the </w:t>
      </w:r>
      <w:r w:rsidR="00020119">
        <w:t xml:space="preserve">investment across various activity classes contributed to the </w:t>
      </w:r>
      <w:r w:rsidR="00216868">
        <w:t xml:space="preserve">GPS priority on </w:t>
      </w:r>
      <w:r w:rsidR="00020119">
        <w:t>E</w:t>
      </w:r>
      <w:r>
        <w:t>nvironment</w:t>
      </w:r>
      <w:r w:rsidRPr="00F424E5">
        <w:t>.</w:t>
      </w:r>
    </w:p>
    <w:tbl>
      <w:tblPr>
        <w:tblStyle w:val="GridTable4-Accent11"/>
        <w:tblW w:w="10456" w:type="dxa"/>
        <w:tblLook w:val="04A0" w:firstRow="1" w:lastRow="0" w:firstColumn="1" w:lastColumn="0" w:noHBand="0" w:noVBand="1"/>
      </w:tblPr>
      <w:tblGrid>
        <w:gridCol w:w="3601"/>
        <w:gridCol w:w="1510"/>
        <w:gridCol w:w="1688"/>
        <w:gridCol w:w="1514"/>
        <w:gridCol w:w="2143"/>
      </w:tblGrid>
      <w:tr w:rsidR="00CA2E33" w:rsidRPr="00F424E5" w14:paraId="0858C09D" w14:textId="77777777" w:rsidTr="00DE51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vMerge w:val="restart"/>
            <w:shd w:val="clear" w:color="auto" w:fill="00A9EF"/>
          </w:tcPr>
          <w:p w14:paraId="22887E4B" w14:textId="77777777" w:rsidR="00CA2E33" w:rsidRPr="00DE511C" w:rsidRDefault="00CA2E33" w:rsidP="00E62E8B">
            <w:r w:rsidRPr="00DE511C">
              <w:lastRenderedPageBreak/>
              <w:t>Activity class</w:t>
            </w:r>
          </w:p>
        </w:tc>
        <w:tc>
          <w:tcPr>
            <w:tcW w:w="3198" w:type="dxa"/>
            <w:gridSpan w:val="2"/>
            <w:shd w:val="clear" w:color="auto" w:fill="00A9EF"/>
          </w:tcPr>
          <w:p w14:paraId="6961CFBF" w14:textId="77777777" w:rsidR="00CA2E33" w:rsidRPr="00DE511C" w:rsidRDefault="00CA2E33" w:rsidP="00E62E8B">
            <w:pPr>
              <w:jc w:val="center"/>
              <w:cnfStyle w:val="100000000000" w:firstRow="1" w:lastRow="0" w:firstColumn="0" w:lastColumn="0" w:oddVBand="0" w:evenVBand="0" w:oddHBand="0" w:evenHBand="0" w:firstRowFirstColumn="0" w:firstRowLastColumn="0" w:lastRowFirstColumn="0" w:lastRowLastColumn="0"/>
            </w:pPr>
            <w:r w:rsidRPr="00DE511C">
              <w:t>2018/19</w:t>
            </w:r>
          </w:p>
        </w:tc>
        <w:tc>
          <w:tcPr>
            <w:tcW w:w="3657" w:type="dxa"/>
            <w:gridSpan w:val="2"/>
            <w:shd w:val="clear" w:color="auto" w:fill="00A9EF"/>
          </w:tcPr>
          <w:p w14:paraId="686BBDAF" w14:textId="77777777" w:rsidR="00CA2E33" w:rsidRPr="00DE511C" w:rsidRDefault="00CA2E33" w:rsidP="00E62E8B">
            <w:pPr>
              <w:jc w:val="center"/>
              <w:cnfStyle w:val="100000000000" w:firstRow="1" w:lastRow="0" w:firstColumn="0" w:lastColumn="0" w:oddVBand="0" w:evenVBand="0" w:oddHBand="0" w:evenHBand="0" w:firstRowFirstColumn="0" w:firstRowLastColumn="0" w:lastRowFirstColumn="0" w:lastRowLastColumn="0"/>
            </w:pPr>
            <w:r w:rsidRPr="00DE511C">
              <w:t xml:space="preserve">2019/20 </w:t>
            </w:r>
          </w:p>
        </w:tc>
      </w:tr>
      <w:tr w:rsidR="00CA2E33" w:rsidRPr="00F424E5" w14:paraId="5D2F973F" w14:textId="77777777" w:rsidTr="00DE51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vMerge/>
            <w:shd w:val="clear" w:color="auto" w:fill="00A9EF"/>
          </w:tcPr>
          <w:p w14:paraId="4FE1F8F0" w14:textId="77777777" w:rsidR="00CA2E33" w:rsidRPr="00DE511C" w:rsidRDefault="00CA2E33" w:rsidP="00E62E8B">
            <w:pPr>
              <w:rPr>
                <w:color w:val="FFFFFF" w:themeColor="background1"/>
              </w:rPr>
            </w:pPr>
          </w:p>
        </w:tc>
        <w:tc>
          <w:tcPr>
            <w:tcW w:w="1510" w:type="dxa"/>
            <w:shd w:val="clear" w:color="auto" w:fill="00A9EF"/>
          </w:tcPr>
          <w:p w14:paraId="2B17E7FB" w14:textId="235A6BB4" w:rsidR="00CA2E33" w:rsidRPr="00DE511C" w:rsidRDefault="00CA2E33" w:rsidP="00623F23">
            <w:pPr>
              <w:jc w:val="right"/>
              <w:cnfStyle w:val="000000100000" w:firstRow="0" w:lastRow="0" w:firstColumn="0" w:lastColumn="0" w:oddVBand="0" w:evenVBand="0" w:oddHBand="1" w:evenHBand="0" w:firstRowFirstColumn="0" w:firstRowLastColumn="0" w:lastRowFirstColumn="0" w:lastRowLastColumn="0"/>
              <w:rPr>
                <w:color w:val="FFFFFF" w:themeColor="background1"/>
              </w:rPr>
            </w:pPr>
            <w:r w:rsidRPr="00DE511C">
              <w:rPr>
                <w:color w:val="FFFFFF" w:themeColor="background1"/>
              </w:rPr>
              <w:t>$</w:t>
            </w:r>
            <w:r w:rsidR="00592BC3" w:rsidRPr="00DE511C">
              <w:rPr>
                <w:color w:val="FFFFFF" w:themeColor="background1"/>
              </w:rPr>
              <w:t xml:space="preserve"> million</w:t>
            </w:r>
          </w:p>
        </w:tc>
        <w:tc>
          <w:tcPr>
            <w:tcW w:w="1688" w:type="dxa"/>
            <w:shd w:val="clear" w:color="auto" w:fill="00A9EF"/>
          </w:tcPr>
          <w:p w14:paraId="4F2B4506" w14:textId="77777777" w:rsidR="00CA2E33" w:rsidRPr="00DE511C" w:rsidRDefault="00CA2E33" w:rsidP="00623F23">
            <w:pPr>
              <w:jc w:val="right"/>
              <w:cnfStyle w:val="000000100000" w:firstRow="0" w:lastRow="0" w:firstColumn="0" w:lastColumn="0" w:oddVBand="0" w:evenVBand="0" w:oddHBand="1" w:evenHBand="0" w:firstRowFirstColumn="0" w:firstRowLastColumn="0" w:lastRowFirstColumn="0" w:lastRowLastColumn="0"/>
              <w:rPr>
                <w:color w:val="FFFFFF" w:themeColor="background1"/>
              </w:rPr>
            </w:pPr>
            <w:r w:rsidRPr="00DE511C">
              <w:rPr>
                <w:color w:val="FFFFFF" w:themeColor="background1"/>
              </w:rPr>
              <w:t>%</w:t>
            </w:r>
          </w:p>
        </w:tc>
        <w:tc>
          <w:tcPr>
            <w:tcW w:w="1514" w:type="dxa"/>
            <w:shd w:val="clear" w:color="auto" w:fill="00A9EF"/>
          </w:tcPr>
          <w:p w14:paraId="4A03E3E6" w14:textId="10C909C8" w:rsidR="00CA2E33" w:rsidRPr="00DE511C" w:rsidRDefault="00274E4D" w:rsidP="00623F23">
            <w:pPr>
              <w:jc w:val="right"/>
              <w:cnfStyle w:val="000000100000" w:firstRow="0" w:lastRow="0" w:firstColumn="0" w:lastColumn="0" w:oddVBand="0" w:evenVBand="0" w:oddHBand="1" w:evenHBand="0" w:firstRowFirstColumn="0" w:firstRowLastColumn="0" w:lastRowFirstColumn="0" w:lastRowLastColumn="0"/>
              <w:rPr>
                <w:color w:val="FFFFFF" w:themeColor="background1"/>
              </w:rPr>
            </w:pPr>
            <w:r w:rsidRPr="00DE511C">
              <w:rPr>
                <w:color w:val="FFFFFF" w:themeColor="background1"/>
              </w:rPr>
              <w:t>$</w:t>
            </w:r>
            <w:r w:rsidR="00592BC3" w:rsidRPr="00DE511C">
              <w:rPr>
                <w:color w:val="FFFFFF" w:themeColor="background1"/>
              </w:rPr>
              <w:t xml:space="preserve"> million</w:t>
            </w:r>
          </w:p>
        </w:tc>
        <w:tc>
          <w:tcPr>
            <w:tcW w:w="2143" w:type="dxa"/>
            <w:shd w:val="clear" w:color="auto" w:fill="00A9EF"/>
          </w:tcPr>
          <w:p w14:paraId="124ADDE7" w14:textId="77777777" w:rsidR="00CA2E33" w:rsidRPr="00DE511C" w:rsidRDefault="00CA2E33" w:rsidP="00623F23">
            <w:pPr>
              <w:jc w:val="right"/>
              <w:cnfStyle w:val="000000100000" w:firstRow="0" w:lastRow="0" w:firstColumn="0" w:lastColumn="0" w:oddVBand="0" w:evenVBand="0" w:oddHBand="1" w:evenHBand="0" w:firstRowFirstColumn="0" w:firstRowLastColumn="0" w:lastRowFirstColumn="0" w:lastRowLastColumn="0"/>
              <w:rPr>
                <w:color w:val="FFFFFF" w:themeColor="background1"/>
              </w:rPr>
            </w:pPr>
            <w:r w:rsidRPr="00DE511C">
              <w:rPr>
                <w:color w:val="FFFFFF" w:themeColor="background1"/>
              </w:rPr>
              <w:t>%</w:t>
            </w:r>
          </w:p>
        </w:tc>
      </w:tr>
      <w:tr w:rsidR="00CA2E33" w:rsidRPr="00F424E5" w14:paraId="73FCA59E" w14:textId="77777777" w:rsidTr="00DE511C">
        <w:tc>
          <w:tcPr>
            <w:cnfStyle w:val="001000000000" w:firstRow="0" w:lastRow="0" w:firstColumn="1" w:lastColumn="0" w:oddVBand="0" w:evenVBand="0" w:oddHBand="0" w:evenHBand="0" w:firstRowFirstColumn="0" w:firstRowLastColumn="0" w:lastRowFirstColumn="0" w:lastRowLastColumn="0"/>
            <w:tcW w:w="3601" w:type="dxa"/>
          </w:tcPr>
          <w:p w14:paraId="05CA2BCC" w14:textId="77777777" w:rsidR="00CA2E33" w:rsidRPr="009766A7" w:rsidRDefault="00CA2E33" w:rsidP="00E62E8B">
            <w:pPr>
              <w:rPr>
                <w:b w:val="0"/>
              </w:rPr>
            </w:pPr>
            <w:r w:rsidRPr="009766A7">
              <w:rPr>
                <w:b w:val="0"/>
              </w:rPr>
              <w:t>State highway improvements</w:t>
            </w:r>
          </w:p>
        </w:tc>
        <w:tc>
          <w:tcPr>
            <w:tcW w:w="1510" w:type="dxa"/>
          </w:tcPr>
          <w:p w14:paraId="37FEF7C4" w14:textId="47D3D45C" w:rsidR="00CA2E33" w:rsidRPr="00F424E5" w:rsidRDefault="00CA2E33" w:rsidP="00623F23">
            <w:pPr>
              <w:jc w:val="right"/>
              <w:cnfStyle w:val="000000000000" w:firstRow="0" w:lastRow="0" w:firstColumn="0" w:lastColumn="0" w:oddVBand="0" w:evenVBand="0" w:oddHBand="0" w:evenHBand="0" w:firstRowFirstColumn="0" w:firstRowLastColumn="0" w:lastRowFirstColumn="0" w:lastRowLastColumn="0"/>
            </w:pPr>
            <w:r>
              <w:t>13</w:t>
            </w:r>
          </w:p>
        </w:tc>
        <w:tc>
          <w:tcPr>
            <w:tcW w:w="1688" w:type="dxa"/>
          </w:tcPr>
          <w:p w14:paraId="4B73FF0E" w14:textId="03BB4821" w:rsidR="00CA2E33" w:rsidRPr="00F424E5" w:rsidRDefault="00CA2E33" w:rsidP="00623F23">
            <w:pPr>
              <w:jc w:val="right"/>
              <w:cnfStyle w:val="000000000000" w:firstRow="0" w:lastRow="0" w:firstColumn="0" w:lastColumn="0" w:oddVBand="0" w:evenVBand="0" w:oddHBand="0" w:evenHBand="0" w:firstRowFirstColumn="0" w:firstRowLastColumn="0" w:lastRowFirstColumn="0" w:lastRowLastColumn="0"/>
            </w:pPr>
            <w:r>
              <w:t>2.00</w:t>
            </w:r>
          </w:p>
        </w:tc>
        <w:tc>
          <w:tcPr>
            <w:tcW w:w="1514" w:type="dxa"/>
          </w:tcPr>
          <w:p w14:paraId="3C0CA8A8" w14:textId="2954D20F" w:rsidR="00CA2E33" w:rsidRPr="00F424E5" w:rsidRDefault="00CA2E33" w:rsidP="00623F23">
            <w:pPr>
              <w:jc w:val="right"/>
              <w:cnfStyle w:val="000000000000" w:firstRow="0" w:lastRow="0" w:firstColumn="0" w:lastColumn="0" w:oddVBand="0" w:evenVBand="0" w:oddHBand="0" w:evenHBand="0" w:firstRowFirstColumn="0" w:firstRowLastColumn="0" w:lastRowFirstColumn="0" w:lastRowLastColumn="0"/>
            </w:pPr>
            <w:r>
              <w:t>20</w:t>
            </w:r>
          </w:p>
        </w:tc>
        <w:tc>
          <w:tcPr>
            <w:tcW w:w="2143" w:type="dxa"/>
          </w:tcPr>
          <w:p w14:paraId="4CAF1670" w14:textId="34F44DEA" w:rsidR="00CA2E33" w:rsidRPr="00F424E5" w:rsidRDefault="00CA2E33" w:rsidP="00623F23">
            <w:pPr>
              <w:jc w:val="right"/>
              <w:cnfStyle w:val="000000000000" w:firstRow="0" w:lastRow="0" w:firstColumn="0" w:lastColumn="0" w:oddVBand="0" w:evenVBand="0" w:oddHBand="0" w:evenHBand="0" w:firstRowFirstColumn="0" w:firstRowLastColumn="0" w:lastRowFirstColumn="0" w:lastRowLastColumn="0"/>
            </w:pPr>
            <w:r>
              <w:t>2.90</w:t>
            </w:r>
          </w:p>
        </w:tc>
      </w:tr>
      <w:tr w:rsidR="00CA2E33" w:rsidRPr="00F424E5" w14:paraId="7AD6FE8A" w14:textId="77777777" w:rsidTr="00DE51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shd w:val="clear" w:color="auto" w:fill="C5EEFF"/>
          </w:tcPr>
          <w:p w14:paraId="3E6AA3EC" w14:textId="77777777" w:rsidR="00CA2E33" w:rsidRPr="009766A7" w:rsidRDefault="00CA2E33" w:rsidP="00E62E8B">
            <w:pPr>
              <w:rPr>
                <w:b w:val="0"/>
              </w:rPr>
            </w:pPr>
            <w:r w:rsidRPr="009766A7">
              <w:rPr>
                <w:b w:val="0"/>
              </w:rPr>
              <w:t>State highway maintenance</w:t>
            </w:r>
          </w:p>
        </w:tc>
        <w:tc>
          <w:tcPr>
            <w:tcW w:w="1510" w:type="dxa"/>
            <w:shd w:val="clear" w:color="auto" w:fill="C5EEFF"/>
          </w:tcPr>
          <w:p w14:paraId="1C1F6296" w14:textId="7A8B92D4" w:rsidR="00CA2E33" w:rsidRPr="00F424E5" w:rsidRDefault="00CA2E33" w:rsidP="00623F23">
            <w:pPr>
              <w:jc w:val="right"/>
              <w:cnfStyle w:val="000000100000" w:firstRow="0" w:lastRow="0" w:firstColumn="0" w:lastColumn="0" w:oddVBand="0" w:evenVBand="0" w:oddHBand="1" w:evenHBand="0" w:firstRowFirstColumn="0" w:firstRowLastColumn="0" w:lastRowFirstColumn="0" w:lastRowLastColumn="0"/>
            </w:pPr>
            <w:r>
              <w:t>112</w:t>
            </w:r>
          </w:p>
        </w:tc>
        <w:tc>
          <w:tcPr>
            <w:tcW w:w="1688" w:type="dxa"/>
            <w:shd w:val="clear" w:color="auto" w:fill="C5EEFF"/>
          </w:tcPr>
          <w:p w14:paraId="7B15E3C3" w14:textId="63769257" w:rsidR="00CA2E33" w:rsidRPr="00F424E5" w:rsidRDefault="00CA2E33" w:rsidP="00623F23">
            <w:pPr>
              <w:jc w:val="right"/>
              <w:cnfStyle w:val="000000100000" w:firstRow="0" w:lastRow="0" w:firstColumn="0" w:lastColumn="0" w:oddVBand="0" w:evenVBand="0" w:oddHBand="1" w:evenHBand="0" w:firstRowFirstColumn="0" w:firstRowLastColumn="0" w:lastRowFirstColumn="0" w:lastRowLastColumn="0"/>
            </w:pPr>
            <w:r>
              <w:t>17.30</w:t>
            </w:r>
          </w:p>
        </w:tc>
        <w:tc>
          <w:tcPr>
            <w:tcW w:w="1514" w:type="dxa"/>
            <w:shd w:val="clear" w:color="auto" w:fill="C5EEFF"/>
          </w:tcPr>
          <w:p w14:paraId="11CFB6CA" w14:textId="5ED454E0" w:rsidR="00CA2E33" w:rsidRPr="00F424E5" w:rsidRDefault="00CA2E33" w:rsidP="00623F23">
            <w:pPr>
              <w:jc w:val="right"/>
              <w:cnfStyle w:val="000000100000" w:firstRow="0" w:lastRow="0" w:firstColumn="0" w:lastColumn="0" w:oddVBand="0" w:evenVBand="0" w:oddHBand="1" w:evenHBand="0" w:firstRowFirstColumn="0" w:firstRowLastColumn="0" w:lastRowFirstColumn="0" w:lastRowLastColumn="0"/>
            </w:pPr>
            <w:r>
              <w:t>113</w:t>
            </w:r>
          </w:p>
        </w:tc>
        <w:tc>
          <w:tcPr>
            <w:tcW w:w="2143" w:type="dxa"/>
            <w:shd w:val="clear" w:color="auto" w:fill="C5EEFF"/>
          </w:tcPr>
          <w:p w14:paraId="68A41C1A" w14:textId="06DA47F1" w:rsidR="00CA2E33" w:rsidRPr="00F424E5" w:rsidRDefault="00CA2E33" w:rsidP="00623F23">
            <w:pPr>
              <w:jc w:val="right"/>
              <w:cnfStyle w:val="000000100000" w:firstRow="0" w:lastRow="0" w:firstColumn="0" w:lastColumn="0" w:oddVBand="0" w:evenVBand="0" w:oddHBand="1" w:evenHBand="0" w:firstRowFirstColumn="0" w:firstRowLastColumn="0" w:lastRowFirstColumn="0" w:lastRowLastColumn="0"/>
            </w:pPr>
            <w:r>
              <w:t>16.30</w:t>
            </w:r>
          </w:p>
        </w:tc>
      </w:tr>
      <w:tr w:rsidR="00CA2E33" w:rsidRPr="00F424E5" w14:paraId="495E1170" w14:textId="77777777" w:rsidTr="00DE511C">
        <w:tc>
          <w:tcPr>
            <w:cnfStyle w:val="001000000000" w:firstRow="0" w:lastRow="0" w:firstColumn="1" w:lastColumn="0" w:oddVBand="0" w:evenVBand="0" w:oddHBand="0" w:evenHBand="0" w:firstRowFirstColumn="0" w:firstRowLastColumn="0" w:lastRowFirstColumn="0" w:lastRowLastColumn="0"/>
            <w:tcW w:w="3601" w:type="dxa"/>
          </w:tcPr>
          <w:p w14:paraId="24EFDFF5" w14:textId="77777777" w:rsidR="00CA2E33" w:rsidRPr="009766A7" w:rsidRDefault="00CA2E33" w:rsidP="00E62E8B">
            <w:pPr>
              <w:rPr>
                <w:b w:val="0"/>
              </w:rPr>
            </w:pPr>
            <w:r w:rsidRPr="009766A7">
              <w:rPr>
                <w:b w:val="0"/>
              </w:rPr>
              <w:t>Local road improvements</w:t>
            </w:r>
          </w:p>
        </w:tc>
        <w:tc>
          <w:tcPr>
            <w:tcW w:w="1510" w:type="dxa"/>
          </w:tcPr>
          <w:p w14:paraId="216F7C2B" w14:textId="76ED274E" w:rsidR="00CA2E33" w:rsidRPr="00F424E5" w:rsidRDefault="00CA2E33" w:rsidP="00623F23">
            <w:pPr>
              <w:jc w:val="right"/>
              <w:cnfStyle w:val="000000000000" w:firstRow="0" w:lastRow="0" w:firstColumn="0" w:lastColumn="0" w:oddVBand="0" w:evenVBand="0" w:oddHBand="0" w:evenHBand="0" w:firstRowFirstColumn="0" w:firstRowLastColumn="0" w:lastRowFirstColumn="0" w:lastRowLastColumn="0"/>
            </w:pPr>
            <w:r>
              <w:t>15</w:t>
            </w:r>
          </w:p>
        </w:tc>
        <w:tc>
          <w:tcPr>
            <w:tcW w:w="1688" w:type="dxa"/>
          </w:tcPr>
          <w:p w14:paraId="4CFB4002" w14:textId="5E523A46" w:rsidR="00CA2E33" w:rsidRPr="00F424E5" w:rsidRDefault="00CA2E33" w:rsidP="00623F23">
            <w:pPr>
              <w:jc w:val="right"/>
              <w:cnfStyle w:val="000000000000" w:firstRow="0" w:lastRow="0" w:firstColumn="0" w:lastColumn="0" w:oddVBand="0" w:evenVBand="0" w:oddHBand="0" w:evenHBand="0" w:firstRowFirstColumn="0" w:firstRowLastColumn="0" w:lastRowFirstColumn="0" w:lastRowLastColumn="0"/>
            </w:pPr>
            <w:r>
              <w:t>2.30</w:t>
            </w:r>
          </w:p>
        </w:tc>
        <w:tc>
          <w:tcPr>
            <w:tcW w:w="1514" w:type="dxa"/>
          </w:tcPr>
          <w:p w14:paraId="5DD36404" w14:textId="44B2BE71" w:rsidR="00CA2E33" w:rsidRPr="00F424E5" w:rsidRDefault="00CA2E33" w:rsidP="00623F23">
            <w:pPr>
              <w:jc w:val="right"/>
              <w:cnfStyle w:val="000000000000" w:firstRow="0" w:lastRow="0" w:firstColumn="0" w:lastColumn="0" w:oddVBand="0" w:evenVBand="0" w:oddHBand="0" w:evenHBand="0" w:firstRowFirstColumn="0" w:firstRowLastColumn="0" w:lastRowFirstColumn="0" w:lastRowLastColumn="0"/>
            </w:pPr>
            <w:r>
              <w:t>11</w:t>
            </w:r>
          </w:p>
        </w:tc>
        <w:tc>
          <w:tcPr>
            <w:tcW w:w="2143" w:type="dxa"/>
          </w:tcPr>
          <w:p w14:paraId="11B0DEBF" w14:textId="528885F7" w:rsidR="00CA2E33" w:rsidRPr="00F424E5" w:rsidRDefault="00CA2E33" w:rsidP="00623F23">
            <w:pPr>
              <w:jc w:val="right"/>
              <w:cnfStyle w:val="000000000000" w:firstRow="0" w:lastRow="0" w:firstColumn="0" w:lastColumn="0" w:oddVBand="0" w:evenVBand="0" w:oddHBand="0" w:evenHBand="0" w:firstRowFirstColumn="0" w:firstRowLastColumn="0" w:lastRowFirstColumn="0" w:lastRowLastColumn="0"/>
            </w:pPr>
            <w:r>
              <w:t>1.50</w:t>
            </w:r>
          </w:p>
        </w:tc>
      </w:tr>
      <w:tr w:rsidR="00CA2E33" w:rsidRPr="00F424E5" w14:paraId="499B187D" w14:textId="77777777" w:rsidTr="00DE51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shd w:val="clear" w:color="auto" w:fill="C5EEFF"/>
          </w:tcPr>
          <w:p w14:paraId="38CFDD8A" w14:textId="77777777" w:rsidR="00CA2E33" w:rsidRPr="009766A7" w:rsidRDefault="00CA2E33" w:rsidP="00E62E8B">
            <w:pPr>
              <w:rPr>
                <w:b w:val="0"/>
              </w:rPr>
            </w:pPr>
            <w:r w:rsidRPr="009766A7">
              <w:rPr>
                <w:b w:val="0"/>
              </w:rPr>
              <w:t>Local road maintenance</w:t>
            </w:r>
          </w:p>
        </w:tc>
        <w:tc>
          <w:tcPr>
            <w:tcW w:w="1510" w:type="dxa"/>
            <w:shd w:val="clear" w:color="auto" w:fill="C5EEFF"/>
          </w:tcPr>
          <w:p w14:paraId="1972C789" w14:textId="6E46909B" w:rsidR="00CA2E33" w:rsidRPr="00F424E5" w:rsidRDefault="00CA2E33" w:rsidP="00623F23">
            <w:pPr>
              <w:jc w:val="right"/>
              <w:cnfStyle w:val="000000100000" w:firstRow="0" w:lastRow="0" w:firstColumn="0" w:lastColumn="0" w:oddVBand="0" w:evenVBand="0" w:oddHBand="1" w:evenHBand="0" w:firstRowFirstColumn="0" w:firstRowLastColumn="0" w:lastRowFirstColumn="0" w:lastRowLastColumn="0"/>
            </w:pPr>
            <w:r>
              <w:t>224</w:t>
            </w:r>
          </w:p>
        </w:tc>
        <w:tc>
          <w:tcPr>
            <w:tcW w:w="1688" w:type="dxa"/>
            <w:shd w:val="clear" w:color="auto" w:fill="C5EEFF"/>
          </w:tcPr>
          <w:p w14:paraId="635D826C" w14:textId="5B1B2004" w:rsidR="00CA2E33" w:rsidRPr="00F424E5" w:rsidRDefault="00CA2E33" w:rsidP="00623F23">
            <w:pPr>
              <w:jc w:val="right"/>
              <w:cnfStyle w:val="000000100000" w:firstRow="0" w:lastRow="0" w:firstColumn="0" w:lastColumn="0" w:oddVBand="0" w:evenVBand="0" w:oddHBand="1" w:evenHBand="0" w:firstRowFirstColumn="0" w:firstRowLastColumn="0" w:lastRowFirstColumn="0" w:lastRowLastColumn="0"/>
            </w:pPr>
            <w:r>
              <w:t>34.60</w:t>
            </w:r>
          </w:p>
        </w:tc>
        <w:tc>
          <w:tcPr>
            <w:tcW w:w="1514" w:type="dxa"/>
            <w:shd w:val="clear" w:color="auto" w:fill="C5EEFF"/>
          </w:tcPr>
          <w:p w14:paraId="15615728" w14:textId="38EA4AEB" w:rsidR="00CA2E33" w:rsidRPr="00F424E5" w:rsidRDefault="00CA2E33" w:rsidP="00623F23">
            <w:pPr>
              <w:jc w:val="right"/>
              <w:cnfStyle w:val="000000100000" w:firstRow="0" w:lastRow="0" w:firstColumn="0" w:lastColumn="0" w:oddVBand="0" w:evenVBand="0" w:oddHBand="1" w:evenHBand="0" w:firstRowFirstColumn="0" w:firstRowLastColumn="0" w:lastRowFirstColumn="0" w:lastRowLastColumn="0"/>
            </w:pPr>
            <w:r>
              <w:t>224</w:t>
            </w:r>
          </w:p>
        </w:tc>
        <w:tc>
          <w:tcPr>
            <w:tcW w:w="2143" w:type="dxa"/>
            <w:shd w:val="clear" w:color="auto" w:fill="C5EEFF"/>
          </w:tcPr>
          <w:p w14:paraId="52595EEA" w14:textId="78C0DA7F" w:rsidR="00CA2E33" w:rsidRPr="00F424E5" w:rsidRDefault="00CA2E33" w:rsidP="00623F23">
            <w:pPr>
              <w:jc w:val="right"/>
              <w:cnfStyle w:val="000000100000" w:firstRow="0" w:lastRow="0" w:firstColumn="0" w:lastColumn="0" w:oddVBand="0" w:evenVBand="0" w:oddHBand="1" w:evenHBand="0" w:firstRowFirstColumn="0" w:firstRowLastColumn="0" w:lastRowFirstColumn="0" w:lastRowLastColumn="0"/>
            </w:pPr>
            <w:r>
              <w:t>32.30</w:t>
            </w:r>
          </w:p>
        </w:tc>
      </w:tr>
      <w:tr w:rsidR="00CA2E33" w:rsidRPr="00F424E5" w14:paraId="10A98D32" w14:textId="77777777" w:rsidTr="00DE511C">
        <w:tc>
          <w:tcPr>
            <w:cnfStyle w:val="001000000000" w:firstRow="0" w:lastRow="0" w:firstColumn="1" w:lastColumn="0" w:oddVBand="0" w:evenVBand="0" w:oddHBand="0" w:evenHBand="0" w:firstRowFirstColumn="0" w:firstRowLastColumn="0" w:lastRowFirstColumn="0" w:lastRowLastColumn="0"/>
            <w:tcW w:w="3601" w:type="dxa"/>
          </w:tcPr>
          <w:p w14:paraId="5E075950" w14:textId="77777777" w:rsidR="00CA2E33" w:rsidRPr="009766A7" w:rsidRDefault="00CA2E33" w:rsidP="00E62E8B">
            <w:pPr>
              <w:rPr>
                <w:b w:val="0"/>
              </w:rPr>
            </w:pPr>
            <w:r w:rsidRPr="009766A7">
              <w:rPr>
                <w:b w:val="0"/>
              </w:rPr>
              <w:t>Road safety promotion and demand management</w:t>
            </w:r>
          </w:p>
        </w:tc>
        <w:tc>
          <w:tcPr>
            <w:tcW w:w="1510" w:type="dxa"/>
          </w:tcPr>
          <w:p w14:paraId="5AFA2D19" w14:textId="50486FA5" w:rsidR="00CA2E33" w:rsidRPr="00F424E5" w:rsidRDefault="00CA2E33" w:rsidP="00623F23">
            <w:pPr>
              <w:jc w:val="right"/>
              <w:cnfStyle w:val="000000000000" w:firstRow="0" w:lastRow="0" w:firstColumn="0" w:lastColumn="0" w:oddVBand="0" w:evenVBand="0" w:oddHBand="0" w:evenHBand="0" w:firstRowFirstColumn="0" w:firstRowLastColumn="0" w:lastRowFirstColumn="0" w:lastRowLastColumn="0"/>
            </w:pPr>
            <w:r>
              <w:t>0.30</w:t>
            </w:r>
          </w:p>
        </w:tc>
        <w:tc>
          <w:tcPr>
            <w:tcW w:w="1688" w:type="dxa"/>
          </w:tcPr>
          <w:p w14:paraId="4AA10C85" w14:textId="13BDDA22" w:rsidR="00CA2E33" w:rsidRPr="00F424E5" w:rsidRDefault="00CA2E33" w:rsidP="00623F23">
            <w:pPr>
              <w:jc w:val="right"/>
              <w:cnfStyle w:val="000000000000" w:firstRow="0" w:lastRow="0" w:firstColumn="0" w:lastColumn="0" w:oddVBand="0" w:evenVBand="0" w:oddHBand="0" w:evenHBand="0" w:firstRowFirstColumn="0" w:firstRowLastColumn="0" w:lastRowFirstColumn="0" w:lastRowLastColumn="0"/>
            </w:pPr>
            <w:r>
              <w:t>0.10</w:t>
            </w:r>
          </w:p>
        </w:tc>
        <w:tc>
          <w:tcPr>
            <w:tcW w:w="1514" w:type="dxa"/>
          </w:tcPr>
          <w:p w14:paraId="1F6A2E7F" w14:textId="40F9F568" w:rsidR="00CA2E33" w:rsidRPr="00F424E5" w:rsidRDefault="00CA2E33" w:rsidP="00623F23">
            <w:pPr>
              <w:jc w:val="right"/>
              <w:cnfStyle w:val="000000000000" w:firstRow="0" w:lastRow="0" w:firstColumn="0" w:lastColumn="0" w:oddVBand="0" w:evenVBand="0" w:oddHBand="0" w:evenHBand="0" w:firstRowFirstColumn="0" w:firstRowLastColumn="0" w:lastRowFirstColumn="0" w:lastRowLastColumn="0"/>
            </w:pPr>
            <w:r>
              <w:t>0.20</w:t>
            </w:r>
          </w:p>
        </w:tc>
        <w:tc>
          <w:tcPr>
            <w:tcW w:w="2143" w:type="dxa"/>
          </w:tcPr>
          <w:p w14:paraId="4786925B" w14:textId="644D3C52" w:rsidR="00CA2E33" w:rsidRPr="00F424E5" w:rsidRDefault="00CA2E33" w:rsidP="00623F23">
            <w:pPr>
              <w:jc w:val="right"/>
              <w:cnfStyle w:val="000000000000" w:firstRow="0" w:lastRow="0" w:firstColumn="0" w:lastColumn="0" w:oddVBand="0" w:evenVBand="0" w:oddHBand="0" w:evenHBand="0" w:firstRowFirstColumn="0" w:firstRowLastColumn="0" w:lastRowFirstColumn="0" w:lastRowLastColumn="0"/>
            </w:pPr>
            <w:r>
              <w:t>0.03</w:t>
            </w:r>
          </w:p>
        </w:tc>
      </w:tr>
      <w:tr w:rsidR="00CA2E33" w:rsidRPr="00F424E5" w14:paraId="4A4921D5" w14:textId="77777777" w:rsidTr="00DE51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shd w:val="clear" w:color="auto" w:fill="C5EEFF"/>
          </w:tcPr>
          <w:p w14:paraId="539A6C5D" w14:textId="77777777" w:rsidR="00CA2E33" w:rsidRPr="009766A7" w:rsidRDefault="00CA2E33" w:rsidP="00E62E8B">
            <w:pPr>
              <w:rPr>
                <w:b w:val="0"/>
              </w:rPr>
            </w:pPr>
            <w:r w:rsidRPr="009766A7">
              <w:rPr>
                <w:b w:val="0"/>
              </w:rPr>
              <w:t>Regional improvements</w:t>
            </w:r>
          </w:p>
        </w:tc>
        <w:tc>
          <w:tcPr>
            <w:tcW w:w="1510" w:type="dxa"/>
            <w:shd w:val="clear" w:color="auto" w:fill="C5EEFF"/>
          </w:tcPr>
          <w:p w14:paraId="663C0446" w14:textId="6255DA33" w:rsidR="00CA2E33" w:rsidRPr="00F424E5" w:rsidRDefault="00CA2E33" w:rsidP="00623F23">
            <w:pPr>
              <w:jc w:val="right"/>
              <w:cnfStyle w:val="000000100000" w:firstRow="0" w:lastRow="0" w:firstColumn="0" w:lastColumn="0" w:oddVBand="0" w:evenVBand="0" w:oddHBand="1" w:evenHBand="0" w:firstRowFirstColumn="0" w:firstRowLastColumn="0" w:lastRowFirstColumn="0" w:lastRowLastColumn="0"/>
            </w:pPr>
            <w:r>
              <w:t>0.5</w:t>
            </w:r>
          </w:p>
        </w:tc>
        <w:tc>
          <w:tcPr>
            <w:tcW w:w="1688" w:type="dxa"/>
            <w:shd w:val="clear" w:color="auto" w:fill="C5EEFF"/>
          </w:tcPr>
          <w:p w14:paraId="277CDF20" w14:textId="5230AE32" w:rsidR="00CA2E33" w:rsidRPr="00F424E5" w:rsidRDefault="00CA2E33" w:rsidP="00623F23">
            <w:pPr>
              <w:jc w:val="right"/>
              <w:cnfStyle w:val="000000100000" w:firstRow="0" w:lastRow="0" w:firstColumn="0" w:lastColumn="0" w:oddVBand="0" w:evenVBand="0" w:oddHBand="1" w:evenHBand="0" w:firstRowFirstColumn="0" w:firstRowLastColumn="0" w:lastRowFirstColumn="0" w:lastRowLastColumn="0"/>
            </w:pPr>
            <w:r>
              <w:t>0.10</w:t>
            </w:r>
          </w:p>
        </w:tc>
        <w:tc>
          <w:tcPr>
            <w:tcW w:w="1514" w:type="dxa"/>
            <w:shd w:val="clear" w:color="auto" w:fill="C5EEFF"/>
          </w:tcPr>
          <w:p w14:paraId="7C88A577" w14:textId="05EFF71E" w:rsidR="00CA2E33" w:rsidRPr="00F424E5" w:rsidRDefault="00CA2E33" w:rsidP="00623F23">
            <w:pPr>
              <w:jc w:val="right"/>
              <w:cnfStyle w:val="000000100000" w:firstRow="0" w:lastRow="0" w:firstColumn="0" w:lastColumn="0" w:oddVBand="0" w:evenVBand="0" w:oddHBand="1" w:evenHBand="0" w:firstRowFirstColumn="0" w:firstRowLastColumn="0" w:lastRowFirstColumn="0" w:lastRowLastColumn="0"/>
            </w:pPr>
            <w:r>
              <w:t>1</w:t>
            </w:r>
          </w:p>
        </w:tc>
        <w:tc>
          <w:tcPr>
            <w:tcW w:w="2143" w:type="dxa"/>
            <w:shd w:val="clear" w:color="auto" w:fill="C5EEFF"/>
          </w:tcPr>
          <w:p w14:paraId="2140B414" w14:textId="7579708B" w:rsidR="00CA2E33" w:rsidRPr="00F424E5" w:rsidRDefault="00CA2E33" w:rsidP="00623F23">
            <w:pPr>
              <w:jc w:val="right"/>
              <w:cnfStyle w:val="000000100000" w:firstRow="0" w:lastRow="0" w:firstColumn="0" w:lastColumn="0" w:oddVBand="0" w:evenVBand="0" w:oddHBand="1" w:evenHBand="0" w:firstRowFirstColumn="0" w:firstRowLastColumn="0" w:lastRowFirstColumn="0" w:lastRowLastColumn="0"/>
            </w:pPr>
            <w:r>
              <w:t>0.14</w:t>
            </w:r>
          </w:p>
        </w:tc>
      </w:tr>
      <w:tr w:rsidR="00CA2E33" w:rsidRPr="00F424E5" w14:paraId="337207DD" w14:textId="77777777" w:rsidTr="00DE511C">
        <w:tc>
          <w:tcPr>
            <w:cnfStyle w:val="001000000000" w:firstRow="0" w:lastRow="0" w:firstColumn="1" w:lastColumn="0" w:oddVBand="0" w:evenVBand="0" w:oddHBand="0" w:evenHBand="0" w:firstRowFirstColumn="0" w:firstRowLastColumn="0" w:lastRowFirstColumn="0" w:lastRowLastColumn="0"/>
            <w:tcW w:w="3601" w:type="dxa"/>
          </w:tcPr>
          <w:p w14:paraId="72A3B58D" w14:textId="77777777" w:rsidR="00CA2E33" w:rsidRPr="009766A7" w:rsidRDefault="00CA2E33" w:rsidP="00E62E8B">
            <w:pPr>
              <w:rPr>
                <w:b w:val="0"/>
              </w:rPr>
            </w:pPr>
            <w:r w:rsidRPr="009766A7">
              <w:rPr>
                <w:b w:val="0"/>
              </w:rPr>
              <w:t>Public transport</w:t>
            </w:r>
          </w:p>
        </w:tc>
        <w:tc>
          <w:tcPr>
            <w:tcW w:w="1510" w:type="dxa"/>
          </w:tcPr>
          <w:p w14:paraId="0D78E5E0" w14:textId="161002CA" w:rsidR="00CA2E33" w:rsidRPr="00F424E5" w:rsidRDefault="00CA2E33" w:rsidP="00623F23">
            <w:pPr>
              <w:jc w:val="right"/>
              <w:cnfStyle w:val="000000000000" w:firstRow="0" w:lastRow="0" w:firstColumn="0" w:lastColumn="0" w:oddVBand="0" w:evenVBand="0" w:oddHBand="0" w:evenHBand="0" w:firstRowFirstColumn="0" w:firstRowLastColumn="0" w:lastRowFirstColumn="0" w:lastRowLastColumn="0"/>
            </w:pPr>
            <w:r>
              <w:t>274</w:t>
            </w:r>
          </w:p>
        </w:tc>
        <w:tc>
          <w:tcPr>
            <w:tcW w:w="1688" w:type="dxa"/>
          </w:tcPr>
          <w:p w14:paraId="72177B65" w14:textId="17732B5D" w:rsidR="00CA2E33" w:rsidRPr="00F424E5" w:rsidRDefault="00CA2E33" w:rsidP="00623F23">
            <w:pPr>
              <w:jc w:val="right"/>
              <w:cnfStyle w:val="000000000000" w:firstRow="0" w:lastRow="0" w:firstColumn="0" w:lastColumn="0" w:oddVBand="0" w:evenVBand="0" w:oddHBand="0" w:evenHBand="0" w:firstRowFirstColumn="0" w:firstRowLastColumn="0" w:lastRowFirstColumn="0" w:lastRowLastColumn="0"/>
            </w:pPr>
            <w:r>
              <w:t>42.30</w:t>
            </w:r>
          </w:p>
        </w:tc>
        <w:tc>
          <w:tcPr>
            <w:tcW w:w="1514" w:type="dxa"/>
          </w:tcPr>
          <w:p w14:paraId="09E5B44D" w14:textId="45FD49B6" w:rsidR="00CA2E33" w:rsidRPr="00F424E5" w:rsidRDefault="00CA2E33" w:rsidP="00623F23">
            <w:pPr>
              <w:jc w:val="right"/>
              <w:cnfStyle w:val="000000000000" w:firstRow="0" w:lastRow="0" w:firstColumn="0" w:lastColumn="0" w:oddVBand="0" w:evenVBand="0" w:oddHBand="0" w:evenHBand="0" w:firstRowFirstColumn="0" w:firstRowLastColumn="0" w:lastRowFirstColumn="0" w:lastRowLastColumn="0"/>
            </w:pPr>
            <w:r>
              <w:t>313</w:t>
            </w:r>
          </w:p>
        </w:tc>
        <w:tc>
          <w:tcPr>
            <w:tcW w:w="2143" w:type="dxa"/>
          </w:tcPr>
          <w:p w14:paraId="4C42A2F2" w14:textId="054E4B5D" w:rsidR="00CA2E33" w:rsidRPr="00F424E5" w:rsidRDefault="00CA2E33" w:rsidP="00623F23">
            <w:pPr>
              <w:jc w:val="right"/>
              <w:cnfStyle w:val="000000000000" w:firstRow="0" w:lastRow="0" w:firstColumn="0" w:lastColumn="0" w:oddVBand="0" w:evenVBand="0" w:oddHBand="0" w:evenHBand="0" w:firstRowFirstColumn="0" w:firstRowLastColumn="0" w:lastRowFirstColumn="0" w:lastRowLastColumn="0"/>
            </w:pPr>
            <w:r>
              <w:t>45.10</w:t>
            </w:r>
          </w:p>
        </w:tc>
      </w:tr>
      <w:tr w:rsidR="00CA2E33" w:rsidRPr="00F424E5" w14:paraId="2CF36B61" w14:textId="77777777" w:rsidTr="00DE51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shd w:val="clear" w:color="auto" w:fill="C5EEFF"/>
          </w:tcPr>
          <w:p w14:paraId="38A47CFB" w14:textId="77777777" w:rsidR="00CA2E33" w:rsidRPr="009766A7" w:rsidRDefault="00CA2E33" w:rsidP="00E62E8B">
            <w:pPr>
              <w:rPr>
                <w:b w:val="0"/>
              </w:rPr>
            </w:pPr>
            <w:r w:rsidRPr="009766A7">
              <w:rPr>
                <w:b w:val="0"/>
              </w:rPr>
              <w:t>Walking and cycling improvements</w:t>
            </w:r>
          </w:p>
        </w:tc>
        <w:tc>
          <w:tcPr>
            <w:tcW w:w="1510" w:type="dxa"/>
            <w:shd w:val="clear" w:color="auto" w:fill="C5EEFF"/>
          </w:tcPr>
          <w:p w14:paraId="195B7EE7" w14:textId="7F47CD3B" w:rsidR="00CA2E33" w:rsidRPr="00F424E5" w:rsidRDefault="00CA2E33" w:rsidP="00623F23">
            <w:pPr>
              <w:jc w:val="right"/>
              <w:cnfStyle w:val="000000100000" w:firstRow="0" w:lastRow="0" w:firstColumn="0" w:lastColumn="0" w:oddVBand="0" w:evenVBand="0" w:oddHBand="1" w:evenHBand="0" w:firstRowFirstColumn="0" w:firstRowLastColumn="0" w:lastRowFirstColumn="0" w:lastRowLastColumn="0"/>
            </w:pPr>
            <w:r>
              <w:t>6</w:t>
            </w:r>
          </w:p>
        </w:tc>
        <w:tc>
          <w:tcPr>
            <w:tcW w:w="1688" w:type="dxa"/>
            <w:shd w:val="clear" w:color="auto" w:fill="C5EEFF"/>
          </w:tcPr>
          <w:p w14:paraId="662035F6" w14:textId="2031443D" w:rsidR="00CA2E33" w:rsidRPr="00F424E5" w:rsidRDefault="00CA2E33" w:rsidP="00623F23">
            <w:pPr>
              <w:jc w:val="right"/>
              <w:cnfStyle w:val="000000100000" w:firstRow="0" w:lastRow="0" w:firstColumn="0" w:lastColumn="0" w:oddVBand="0" w:evenVBand="0" w:oddHBand="1" w:evenHBand="0" w:firstRowFirstColumn="0" w:firstRowLastColumn="0" w:lastRowFirstColumn="0" w:lastRowLastColumn="0"/>
            </w:pPr>
            <w:r>
              <w:t>0.90</w:t>
            </w:r>
          </w:p>
        </w:tc>
        <w:tc>
          <w:tcPr>
            <w:tcW w:w="1514" w:type="dxa"/>
            <w:shd w:val="clear" w:color="auto" w:fill="C5EEFF"/>
          </w:tcPr>
          <w:p w14:paraId="7CC31A98" w14:textId="54F475C4" w:rsidR="00CA2E33" w:rsidRPr="00F424E5" w:rsidRDefault="00CA2E33" w:rsidP="00623F23">
            <w:pPr>
              <w:jc w:val="right"/>
              <w:cnfStyle w:val="000000100000" w:firstRow="0" w:lastRow="0" w:firstColumn="0" w:lastColumn="0" w:oddVBand="0" w:evenVBand="0" w:oddHBand="1" w:evenHBand="0" w:firstRowFirstColumn="0" w:firstRowLastColumn="0" w:lastRowFirstColumn="0" w:lastRowLastColumn="0"/>
            </w:pPr>
            <w:r>
              <w:t>11</w:t>
            </w:r>
          </w:p>
        </w:tc>
        <w:tc>
          <w:tcPr>
            <w:tcW w:w="2143" w:type="dxa"/>
            <w:shd w:val="clear" w:color="auto" w:fill="C5EEFF"/>
          </w:tcPr>
          <w:p w14:paraId="63E03F90" w14:textId="6085FC01" w:rsidR="00CA2E33" w:rsidRPr="00F424E5" w:rsidRDefault="00CA2E33" w:rsidP="00623F23">
            <w:pPr>
              <w:jc w:val="right"/>
              <w:cnfStyle w:val="000000100000" w:firstRow="0" w:lastRow="0" w:firstColumn="0" w:lastColumn="0" w:oddVBand="0" w:evenVBand="0" w:oddHBand="1" w:evenHBand="0" w:firstRowFirstColumn="0" w:firstRowLastColumn="0" w:lastRowFirstColumn="0" w:lastRowLastColumn="0"/>
            </w:pPr>
            <w:r>
              <w:t>1.60</w:t>
            </w:r>
          </w:p>
        </w:tc>
      </w:tr>
      <w:tr w:rsidR="00CA2E33" w:rsidRPr="00F424E5" w14:paraId="45275B1D" w14:textId="77777777" w:rsidTr="00DE511C">
        <w:tc>
          <w:tcPr>
            <w:cnfStyle w:val="001000000000" w:firstRow="0" w:lastRow="0" w:firstColumn="1" w:lastColumn="0" w:oddVBand="0" w:evenVBand="0" w:oddHBand="0" w:evenHBand="0" w:firstRowFirstColumn="0" w:firstRowLastColumn="0" w:lastRowFirstColumn="0" w:lastRowLastColumn="0"/>
            <w:tcW w:w="3601" w:type="dxa"/>
          </w:tcPr>
          <w:p w14:paraId="116B2994" w14:textId="77777777" w:rsidR="00CA2E33" w:rsidRPr="009766A7" w:rsidRDefault="00CA2E33" w:rsidP="00E62E8B">
            <w:pPr>
              <w:rPr>
                <w:b w:val="0"/>
              </w:rPr>
            </w:pPr>
            <w:r w:rsidRPr="009766A7">
              <w:rPr>
                <w:b w:val="0"/>
              </w:rPr>
              <w:t>Rapid transit</w:t>
            </w:r>
          </w:p>
        </w:tc>
        <w:tc>
          <w:tcPr>
            <w:tcW w:w="1510" w:type="dxa"/>
          </w:tcPr>
          <w:p w14:paraId="5726D53A" w14:textId="00994613" w:rsidR="00CA2E33" w:rsidRPr="00F424E5" w:rsidRDefault="00CA2E33" w:rsidP="00623F23">
            <w:pPr>
              <w:jc w:val="right"/>
              <w:cnfStyle w:val="000000000000" w:firstRow="0" w:lastRow="0" w:firstColumn="0" w:lastColumn="0" w:oddVBand="0" w:evenVBand="0" w:oddHBand="0" w:evenHBand="0" w:firstRowFirstColumn="0" w:firstRowLastColumn="0" w:lastRowFirstColumn="0" w:lastRowLastColumn="0"/>
            </w:pPr>
            <w:r>
              <w:t>1</w:t>
            </w:r>
          </w:p>
        </w:tc>
        <w:tc>
          <w:tcPr>
            <w:tcW w:w="1688" w:type="dxa"/>
          </w:tcPr>
          <w:p w14:paraId="07CEF055" w14:textId="23D1F0AE" w:rsidR="00CA2E33" w:rsidRPr="00F424E5" w:rsidRDefault="00CA2E33" w:rsidP="00623F23">
            <w:pPr>
              <w:jc w:val="right"/>
              <w:cnfStyle w:val="000000000000" w:firstRow="0" w:lastRow="0" w:firstColumn="0" w:lastColumn="0" w:oddVBand="0" w:evenVBand="0" w:oddHBand="0" w:evenHBand="0" w:firstRowFirstColumn="0" w:firstRowLastColumn="0" w:lastRowFirstColumn="0" w:lastRowLastColumn="0"/>
            </w:pPr>
            <w:r>
              <w:t>0.20</w:t>
            </w:r>
          </w:p>
        </w:tc>
        <w:tc>
          <w:tcPr>
            <w:tcW w:w="1514" w:type="dxa"/>
          </w:tcPr>
          <w:p w14:paraId="28E6B3B0" w14:textId="170CE3F9" w:rsidR="00CA2E33" w:rsidRPr="00F424E5" w:rsidRDefault="00CA2E33" w:rsidP="00623F23">
            <w:pPr>
              <w:jc w:val="right"/>
              <w:cnfStyle w:val="000000000000" w:firstRow="0" w:lastRow="0" w:firstColumn="0" w:lastColumn="0" w:oddVBand="0" w:evenVBand="0" w:oddHBand="0" w:evenHBand="0" w:firstRowFirstColumn="0" w:firstRowLastColumn="0" w:lastRowFirstColumn="0" w:lastRowLastColumn="0"/>
            </w:pPr>
            <w:r>
              <w:t>0.05</w:t>
            </w:r>
          </w:p>
        </w:tc>
        <w:tc>
          <w:tcPr>
            <w:tcW w:w="2143" w:type="dxa"/>
          </w:tcPr>
          <w:p w14:paraId="3588335E" w14:textId="79A5623D" w:rsidR="00CA2E33" w:rsidRPr="00F424E5" w:rsidRDefault="00CA2E33" w:rsidP="00623F23">
            <w:pPr>
              <w:jc w:val="right"/>
              <w:cnfStyle w:val="000000000000" w:firstRow="0" w:lastRow="0" w:firstColumn="0" w:lastColumn="0" w:oddVBand="0" w:evenVBand="0" w:oddHBand="0" w:evenHBand="0" w:firstRowFirstColumn="0" w:firstRowLastColumn="0" w:lastRowFirstColumn="0" w:lastRowLastColumn="0"/>
            </w:pPr>
            <w:r>
              <w:t>0.01</w:t>
            </w:r>
          </w:p>
        </w:tc>
      </w:tr>
      <w:tr w:rsidR="00CA2E33" w:rsidRPr="00F424E5" w14:paraId="10A4FDA6" w14:textId="77777777" w:rsidTr="00DE51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shd w:val="clear" w:color="auto" w:fill="C5EEFF"/>
          </w:tcPr>
          <w:p w14:paraId="11DF49B2" w14:textId="77777777" w:rsidR="00CA2E33" w:rsidRPr="009766A7" w:rsidRDefault="00CA2E33" w:rsidP="00E62E8B">
            <w:pPr>
              <w:rPr>
                <w:b w:val="0"/>
              </w:rPr>
            </w:pPr>
            <w:r w:rsidRPr="009766A7">
              <w:rPr>
                <w:b w:val="0"/>
              </w:rPr>
              <w:t>Transitional rail</w:t>
            </w:r>
          </w:p>
        </w:tc>
        <w:tc>
          <w:tcPr>
            <w:tcW w:w="1510" w:type="dxa"/>
            <w:shd w:val="clear" w:color="auto" w:fill="C5EEFF"/>
          </w:tcPr>
          <w:p w14:paraId="3E1AE331" w14:textId="4608D97A" w:rsidR="00CA2E33" w:rsidRPr="00F424E5" w:rsidRDefault="00CA2E33" w:rsidP="00623F23">
            <w:pPr>
              <w:jc w:val="right"/>
              <w:cnfStyle w:val="000000100000" w:firstRow="0" w:lastRow="0" w:firstColumn="0" w:lastColumn="0" w:oddVBand="0" w:evenVBand="0" w:oddHBand="1" w:evenHBand="0" w:firstRowFirstColumn="0" w:firstRowLastColumn="0" w:lastRowFirstColumn="0" w:lastRowLastColumn="0"/>
            </w:pPr>
            <w:r>
              <w:t>0.5</w:t>
            </w:r>
          </w:p>
        </w:tc>
        <w:tc>
          <w:tcPr>
            <w:tcW w:w="1688" w:type="dxa"/>
            <w:shd w:val="clear" w:color="auto" w:fill="C5EEFF"/>
          </w:tcPr>
          <w:p w14:paraId="288AAB1D" w14:textId="49807A7A" w:rsidR="00CA2E33" w:rsidRPr="00F424E5" w:rsidRDefault="00CA2E33" w:rsidP="00623F23">
            <w:pPr>
              <w:jc w:val="right"/>
              <w:cnfStyle w:val="000000100000" w:firstRow="0" w:lastRow="0" w:firstColumn="0" w:lastColumn="0" w:oddVBand="0" w:evenVBand="0" w:oddHBand="1" w:evenHBand="0" w:firstRowFirstColumn="0" w:firstRowLastColumn="0" w:lastRowFirstColumn="0" w:lastRowLastColumn="0"/>
            </w:pPr>
            <w:r>
              <w:t>0.10</w:t>
            </w:r>
          </w:p>
        </w:tc>
        <w:tc>
          <w:tcPr>
            <w:tcW w:w="1514" w:type="dxa"/>
            <w:shd w:val="clear" w:color="auto" w:fill="C5EEFF"/>
          </w:tcPr>
          <w:p w14:paraId="6AD348FB" w14:textId="74936412" w:rsidR="00CA2E33" w:rsidRPr="00F424E5" w:rsidRDefault="00CA2E33" w:rsidP="00623F23">
            <w:pPr>
              <w:jc w:val="right"/>
              <w:cnfStyle w:val="000000100000" w:firstRow="0" w:lastRow="0" w:firstColumn="0" w:lastColumn="0" w:oddVBand="0" w:evenVBand="0" w:oddHBand="1" w:evenHBand="0" w:firstRowFirstColumn="0" w:firstRowLastColumn="0" w:lastRowFirstColumn="0" w:lastRowLastColumn="0"/>
            </w:pPr>
            <w:r>
              <w:t>0.80</w:t>
            </w:r>
          </w:p>
        </w:tc>
        <w:tc>
          <w:tcPr>
            <w:tcW w:w="2143" w:type="dxa"/>
            <w:shd w:val="clear" w:color="auto" w:fill="C5EEFF"/>
          </w:tcPr>
          <w:p w14:paraId="46A3B008" w14:textId="132A9DCB" w:rsidR="00CA2E33" w:rsidRPr="00F424E5" w:rsidRDefault="00CA2E33" w:rsidP="00623F23">
            <w:pPr>
              <w:jc w:val="right"/>
              <w:cnfStyle w:val="000000100000" w:firstRow="0" w:lastRow="0" w:firstColumn="0" w:lastColumn="0" w:oddVBand="0" w:evenVBand="0" w:oddHBand="1" w:evenHBand="0" w:firstRowFirstColumn="0" w:firstRowLastColumn="0" w:lastRowFirstColumn="0" w:lastRowLastColumn="0"/>
            </w:pPr>
            <w:r>
              <w:t>0.12</w:t>
            </w:r>
          </w:p>
        </w:tc>
      </w:tr>
      <w:tr w:rsidR="00CA2E33" w:rsidRPr="00F424E5" w14:paraId="2181C8A0" w14:textId="77777777" w:rsidTr="00DE511C">
        <w:tc>
          <w:tcPr>
            <w:cnfStyle w:val="001000000000" w:firstRow="0" w:lastRow="0" w:firstColumn="1" w:lastColumn="0" w:oddVBand="0" w:evenVBand="0" w:oddHBand="0" w:evenHBand="0" w:firstRowFirstColumn="0" w:firstRowLastColumn="0" w:lastRowFirstColumn="0" w:lastRowLastColumn="0"/>
            <w:tcW w:w="3601" w:type="dxa"/>
          </w:tcPr>
          <w:p w14:paraId="24A37B82" w14:textId="77777777" w:rsidR="00CA2E33" w:rsidRPr="00156BA2" w:rsidRDefault="00CA2E33" w:rsidP="00E62E8B">
            <w:pPr>
              <w:rPr>
                <w:b w:val="0"/>
                <w:bCs w:val="0"/>
              </w:rPr>
            </w:pPr>
            <w:r w:rsidRPr="00156BA2">
              <w:rPr>
                <w:b w:val="0"/>
                <w:bCs w:val="0"/>
              </w:rPr>
              <w:t>TOTAL</w:t>
            </w:r>
          </w:p>
        </w:tc>
        <w:tc>
          <w:tcPr>
            <w:tcW w:w="1510" w:type="dxa"/>
          </w:tcPr>
          <w:p w14:paraId="2EC5F887" w14:textId="5845B27B" w:rsidR="00CA2E33" w:rsidRPr="009766A7" w:rsidRDefault="00CA2E33" w:rsidP="00623F23">
            <w:pPr>
              <w:jc w:val="right"/>
              <w:cnfStyle w:val="000000000000" w:firstRow="0" w:lastRow="0" w:firstColumn="0" w:lastColumn="0" w:oddVBand="0" w:evenVBand="0" w:oddHBand="0" w:evenHBand="0" w:firstRowFirstColumn="0" w:firstRowLastColumn="0" w:lastRowFirstColumn="0" w:lastRowLastColumn="0"/>
              <w:rPr>
                <w:bCs/>
              </w:rPr>
            </w:pPr>
            <w:r w:rsidRPr="009766A7">
              <w:rPr>
                <w:bCs/>
              </w:rPr>
              <w:t>647</w:t>
            </w:r>
            <w:r w:rsidR="00B519CB" w:rsidRPr="009766A7">
              <w:rPr>
                <w:bCs/>
              </w:rPr>
              <w:t>.0</w:t>
            </w:r>
          </w:p>
        </w:tc>
        <w:tc>
          <w:tcPr>
            <w:tcW w:w="1688" w:type="dxa"/>
          </w:tcPr>
          <w:p w14:paraId="7BDC25C3" w14:textId="77777777" w:rsidR="00CA2E33" w:rsidRPr="009766A7" w:rsidRDefault="00CA2E33" w:rsidP="00623F23">
            <w:pPr>
              <w:jc w:val="right"/>
              <w:cnfStyle w:val="000000000000" w:firstRow="0" w:lastRow="0" w:firstColumn="0" w:lastColumn="0" w:oddVBand="0" w:evenVBand="0" w:oddHBand="0" w:evenHBand="0" w:firstRowFirstColumn="0" w:firstRowLastColumn="0" w:lastRowFirstColumn="0" w:lastRowLastColumn="0"/>
              <w:rPr>
                <w:bCs/>
              </w:rPr>
            </w:pPr>
            <w:r w:rsidRPr="009766A7">
              <w:rPr>
                <w:bCs/>
              </w:rPr>
              <w:t>100.00</w:t>
            </w:r>
          </w:p>
        </w:tc>
        <w:tc>
          <w:tcPr>
            <w:tcW w:w="1514" w:type="dxa"/>
          </w:tcPr>
          <w:p w14:paraId="47A1980F" w14:textId="2FC5FD03" w:rsidR="00CA2E33" w:rsidRPr="009766A7" w:rsidRDefault="00CA2E33" w:rsidP="00623F23">
            <w:pPr>
              <w:jc w:val="right"/>
              <w:cnfStyle w:val="000000000000" w:firstRow="0" w:lastRow="0" w:firstColumn="0" w:lastColumn="0" w:oddVBand="0" w:evenVBand="0" w:oddHBand="0" w:evenHBand="0" w:firstRowFirstColumn="0" w:firstRowLastColumn="0" w:lastRowFirstColumn="0" w:lastRowLastColumn="0"/>
              <w:rPr>
                <w:bCs/>
              </w:rPr>
            </w:pPr>
            <w:r w:rsidRPr="009766A7">
              <w:rPr>
                <w:bCs/>
              </w:rPr>
              <w:t>693</w:t>
            </w:r>
            <w:r w:rsidR="00B519CB" w:rsidRPr="009766A7">
              <w:rPr>
                <w:bCs/>
              </w:rPr>
              <w:t>.0</w:t>
            </w:r>
          </w:p>
        </w:tc>
        <w:tc>
          <w:tcPr>
            <w:tcW w:w="2143" w:type="dxa"/>
          </w:tcPr>
          <w:p w14:paraId="1D5358C9" w14:textId="77777777" w:rsidR="00CA2E33" w:rsidRPr="009766A7" w:rsidRDefault="00CA2E33" w:rsidP="00623F23">
            <w:pPr>
              <w:jc w:val="right"/>
              <w:cnfStyle w:val="000000000000" w:firstRow="0" w:lastRow="0" w:firstColumn="0" w:lastColumn="0" w:oddVBand="0" w:evenVBand="0" w:oddHBand="0" w:evenHBand="0" w:firstRowFirstColumn="0" w:firstRowLastColumn="0" w:lastRowFirstColumn="0" w:lastRowLastColumn="0"/>
              <w:rPr>
                <w:bCs/>
              </w:rPr>
            </w:pPr>
            <w:r w:rsidRPr="009766A7">
              <w:rPr>
                <w:bCs/>
              </w:rPr>
              <w:t>100.00</w:t>
            </w:r>
          </w:p>
        </w:tc>
      </w:tr>
    </w:tbl>
    <w:p w14:paraId="0AFA5F0C" w14:textId="4961E80E" w:rsidR="00CA2E33" w:rsidRDefault="0022519E" w:rsidP="00CA2E33">
      <w:pPr>
        <w:rPr>
          <w:color w:val="A6A6A6" w:themeColor="background1" w:themeShade="A6"/>
        </w:rPr>
      </w:pPr>
      <w:r w:rsidRPr="008730FA">
        <w:rPr>
          <w:rFonts w:ascii="Calibri" w:hAnsi="Calibri" w:cs="Calibri"/>
          <w:i/>
          <w:noProof/>
          <w:sz w:val="18"/>
          <w:lang w:eastAsia="en-NZ"/>
        </w:rPr>
        <mc:AlternateContent>
          <mc:Choice Requires="wps">
            <w:drawing>
              <wp:anchor distT="0" distB="0" distL="114300" distR="114300" simplePos="0" relativeHeight="251703296" behindDoc="1" locked="0" layoutInCell="1" allowOverlap="1" wp14:anchorId="269A8118" wp14:editId="7F1D003F">
                <wp:simplePos x="0" y="0"/>
                <wp:positionH relativeFrom="column">
                  <wp:posOffset>4970</wp:posOffset>
                </wp:positionH>
                <wp:positionV relativeFrom="paragraph">
                  <wp:posOffset>221726</wp:posOffset>
                </wp:positionV>
                <wp:extent cx="6670040" cy="1800225"/>
                <wp:effectExtent l="0" t="0" r="16510" b="28575"/>
                <wp:wrapTight wrapText="bothSides">
                  <wp:wrapPolygon edited="0">
                    <wp:start x="0" y="0"/>
                    <wp:lineTo x="0" y="21714"/>
                    <wp:lineTo x="21592" y="21714"/>
                    <wp:lineTo x="21592" y="0"/>
                    <wp:lineTo x="0" y="0"/>
                  </wp:wrapPolygon>
                </wp:wrapTight>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0040" cy="1800225"/>
                        </a:xfrm>
                        <a:prstGeom prst="rect">
                          <a:avLst/>
                        </a:prstGeom>
                        <a:solidFill>
                          <a:schemeClr val="bg2">
                            <a:lumMod val="90000"/>
                          </a:schemeClr>
                        </a:solidFill>
                        <a:ln w="9525">
                          <a:solidFill>
                            <a:schemeClr val="tx1"/>
                          </a:solidFill>
                          <a:miter lim="800000"/>
                          <a:headEnd/>
                          <a:tailEnd/>
                        </a:ln>
                      </wps:spPr>
                      <wps:txbx>
                        <w:txbxContent>
                          <w:p w14:paraId="0D57BFB5" w14:textId="01FB293D" w:rsidR="00BC0FB3" w:rsidRDefault="00BC0FB3" w:rsidP="00CA2E33">
                            <w:pPr>
                              <w:pStyle w:val="BodyText"/>
                              <w:spacing w:before="120" w:after="120"/>
                              <w:ind w:right="-28"/>
                            </w:pPr>
                            <w:r w:rsidRPr="00B519CB">
                              <w:rPr>
                                <w:rFonts w:ascii="Calibri" w:hAnsi="Calibri" w:cs="Calibri"/>
                                <w:i/>
                                <w:sz w:val="18"/>
                                <w:szCs w:val="18"/>
                              </w:rPr>
                              <w:t>Data source</w:t>
                            </w:r>
                            <w:r w:rsidRPr="00B519CB">
                              <w:rPr>
                                <w:rFonts w:ascii="Calibri" w:hAnsi="Calibri" w:cs="Calibri"/>
                                <w:b/>
                                <w:bCs/>
                                <w:sz w:val="18"/>
                                <w:szCs w:val="18"/>
                              </w:rPr>
                              <w:t>:</w:t>
                            </w:r>
                            <w:r w:rsidRPr="00B519CB">
                              <w:rPr>
                                <w:rFonts w:ascii="Calibri" w:hAnsi="Calibri" w:cs="Calibri"/>
                                <w:bCs/>
                                <w:sz w:val="18"/>
                                <w:szCs w:val="18"/>
                              </w:rPr>
                              <w:t xml:space="preserve"> Waka Kotahi National </w:t>
                            </w:r>
                            <w:r>
                              <w:rPr>
                                <w:rFonts w:ascii="Calibri" w:hAnsi="Calibri" w:cs="Calibri"/>
                                <w:bCs/>
                                <w:sz w:val="18"/>
                                <w:szCs w:val="18"/>
                              </w:rPr>
                              <w:t>L</w:t>
                            </w:r>
                            <w:r w:rsidRPr="00B519CB">
                              <w:rPr>
                                <w:rFonts w:ascii="Calibri" w:hAnsi="Calibri" w:cs="Calibri"/>
                                <w:bCs/>
                                <w:sz w:val="18"/>
                                <w:szCs w:val="18"/>
                              </w:rPr>
                              <w:t xml:space="preserve">and Transport Fund annual report </w:t>
                            </w:r>
                            <w:r>
                              <w:rPr>
                                <w:rFonts w:ascii="Calibri" w:hAnsi="Calibri" w:cs="Calibri"/>
                                <w:bCs/>
                                <w:sz w:val="18"/>
                                <w:szCs w:val="18"/>
                              </w:rPr>
                              <w:t xml:space="preserve">2018/19 and </w:t>
                            </w:r>
                            <w:r w:rsidRPr="00B519CB">
                              <w:rPr>
                                <w:rFonts w:ascii="Calibri" w:hAnsi="Calibri" w:cs="Calibri"/>
                                <w:bCs/>
                                <w:sz w:val="18"/>
                                <w:szCs w:val="18"/>
                              </w:rPr>
                              <w:t>2019/20.</w:t>
                            </w:r>
                            <w:r w:rsidRPr="00B519CB">
                              <w:rPr>
                                <w:rFonts w:ascii="Calibri" w:hAnsi="Calibri" w:cs="Calibri"/>
                                <w:sz w:val="18"/>
                                <w:szCs w:val="18"/>
                              </w:rPr>
                              <w:t xml:space="preserve"> The figures show investment levels from the National Land Transport Fund, local share and the Crown, and excludes  investment from the Provincial Growth Fund, SuperGold Card funding and also investment in the Investment management activity class. </w:t>
                            </w:r>
                            <w:r>
                              <w:rPr>
                                <w:rFonts w:ascii="Calibri" w:hAnsi="Calibri" w:cs="Calibri"/>
                                <w:sz w:val="18"/>
                                <w:szCs w:val="18"/>
                              </w:rPr>
                              <w:t>I</w:t>
                            </w:r>
                            <w:r w:rsidRPr="00237A5D">
                              <w:rPr>
                                <w:rFonts w:ascii="Calibri" w:hAnsi="Calibri" w:cs="Calibri"/>
                                <w:sz w:val="18"/>
                                <w:szCs w:val="18"/>
                              </w:rPr>
                              <w:t xml:space="preserve">nvestment in outcomes is </w:t>
                            </w:r>
                            <w:r>
                              <w:rPr>
                                <w:rFonts w:ascii="Calibri" w:hAnsi="Calibri" w:cs="Calibri"/>
                                <w:sz w:val="18"/>
                                <w:szCs w:val="18"/>
                              </w:rPr>
                              <w:t xml:space="preserve">calculated using monetised benefits provided in Transport Investment Online. For example, a </w:t>
                            </w:r>
                            <w:r w:rsidRPr="00237A5D">
                              <w:rPr>
                                <w:rFonts w:ascii="Calibri" w:hAnsi="Calibri" w:cs="Calibri"/>
                                <w:sz w:val="18"/>
                                <w:szCs w:val="18"/>
                              </w:rPr>
                              <w:t>$1</w:t>
                            </w:r>
                            <w:r>
                              <w:rPr>
                                <w:rFonts w:ascii="Calibri" w:hAnsi="Calibri" w:cs="Calibri"/>
                                <w:sz w:val="18"/>
                                <w:szCs w:val="18"/>
                              </w:rPr>
                              <w:t xml:space="preserve"> </w:t>
                            </w:r>
                            <w:r w:rsidRPr="00237A5D">
                              <w:rPr>
                                <w:rFonts w:ascii="Calibri" w:hAnsi="Calibri" w:cs="Calibri"/>
                                <w:sz w:val="18"/>
                                <w:szCs w:val="18"/>
                              </w:rPr>
                              <w:t>m</w:t>
                            </w:r>
                            <w:r>
                              <w:rPr>
                                <w:rFonts w:ascii="Calibri" w:hAnsi="Calibri" w:cs="Calibri"/>
                                <w:sz w:val="18"/>
                                <w:szCs w:val="18"/>
                              </w:rPr>
                              <w:t>illion</w:t>
                            </w:r>
                            <w:r w:rsidRPr="00237A5D">
                              <w:rPr>
                                <w:rFonts w:ascii="Calibri" w:hAnsi="Calibri" w:cs="Calibri"/>
                                <w:sz w:val="18"/>
                                <w:szCs w:val="18"/>
                              </w:rPr>
                              <w:t xml:space="preserve"> </w:t>
                            </w:r>
                            <w:r>
                              <w:rPr>
                                <w:rFonts w:ascii="Calibri" w:hAnsi="Calibri" w:cs="Calibri"/>
                                <w:sz w:val="18"/>
                                <w:szCs w:val="18"/>
                              </w:rPr>
                              <w:t xml:space="preserve">improvement </w:t>
                            </w:r>
                            <w:r w:rsidRPr="00237A5D">
                              <w:rPr>
                                <w:rFonts w:ascii="Calibri" w:hAnsi="Calibri" w:cs="Calibri"/>
                                <w:sz w:val="18"/>
                                <w:szCs w:val="18"/>
                              </w:rPr>
                              <w:t>project with 60% of monetised benefits relating to safety and 40% of monetised benefits relating to access would generate $600,000 investment towards safety outcomes and $400,000 investment towards access outcomes.</w:t>
                            </w:r>
                            <w:r>
                              <w:rPr>
                                <w:rFonts w:ascii="Calibri" w:hAnsi="Calibri" w:cs="Calibri"/>
                                <w:sz w:val="18"/>
                                <w:szCs w:val="18"/>
                              </w:rPr>
                              <w:t xml:space="preserve"> For projects with no monetised benefits such as maintenance activities, calculations are dependent on </w:t>
                            </w:r>
                            <w:r w:rsidRPr="00237A5D">
                              <w:rPr>
                                <w:rFonts w:ascii="Calibri" w:hAnsi="Calibri" w:cs="Calibri"/>
                                <w:sz w:val="18"/>
                                <w:szCs w:val="18"/>
                              </w:rPr>
                              <w:t>the activity class, work category and primary benefit</w:t>
                            </w:r>
                            <w:r>
                              <w:rPr>
                                <w:rFonts w:ascii="Calibri" w:hAnsi="Calibri" w:cs="Calibri"/>
                                <w:sz w:val="18"/>
                                <w:szCs w:val="18"/>
                              </w:rPr>
                              <w:t>s identified</w:t>
                            </w:r>
                            <w:r w:rsidRPr="00237A5D">
                              <w:rPr>
                                <w:rFonts w:ascii="Calibri" w:hAnsi="Calibri" w:cs="Calibri"/>
                                <w:sz w:val="18"/>
                                <w:szCs w:val="18"/>
                              </w:rPr>
                              <w:t>.</w:t>
                            </w:r>
                            <w:r>
                              <w:rPr>
                                <w:rFonts w:ascii="Calibri" w:hAnsi="Calibri" w:cs="Calibri"/>
                                <w:sz w:val="18"/>
                                <w:szCs w:val="18"/>
                              </w:rPr>
                              <w:t xml:space="preserve"> </w:t>
                            </w:r>
                            <w:r>
                              <w:rPr>
                                <w:rFonts w:ascii="Calibri" w:hAnsi="Calibri" w:cs="Calibri"/>
                                <w:bCs/>
                                <w:sz w:val="18"/>
                                <w:szCs w:val="18"/>
                              </w:rPr>
                              <w:t xml:space="preserve"> For example, activities under the sealed pavement maintenance work category generate investment outcomes of </w:t>
                            </w:r>
                            <w:r w:rsidRPr="00237A5D">
                              <w:rPr>
                                <w:rFonts w:ascii="Calibri" w:hAnsi="Calibri" w:cs="Calibri"/>
                                <w:bCs/>
                                <w:sz w:val="18"/>
                                <w:szCs w:val="18"/>
                              </w:rPr>
                              <w:t xml:space="preserve">20% </w:t>
                            </w:r>
                            <w:r>
                              <w:rPr>
                                <w:rFonts w:ascii="Calibri" w:hAnsi="Calibri" w:cs="Calibri"/>
                                <w:bCs/>
                                <w:sz w:val="18"/>
                                <w:szCs w:val="18"/>
                              </w:rPr>
                              <w:t xml:space="preserve">for </w:t>
                            </w:r>
                            <w:r w:rsidRPr="00237A5D">
                              <w:rPr>
                                <w:rFonts w:ascii="Calibri" w:hAnsi="Calibri" w:cs="Calibri"/>
                                <w:bCs/>
                                <w:sz w:val="18"/>
                                <w:szCs w:val="18"/>
                              </w:rPr>
                              <w:t xml:space="preserve">safety, 60% </w:t>
                            </w:r>
                            <w:r>
                              <w:rPr>
                                <w:rFonts w:ascii="Calibri" w:hAnsi="Calibri" w:cs="Calibri"/>
                                <w:bCs/>
                                <w:sz w:val="18"/>
                                <w:szCs w:val="18"/>
                              </w:rPr>
                              <w:t xml:space="preserve">for </w:t>
                            </w:r>
                            <w:r w:rsidRPr="00237A5D">
                              <w:rPr>
                                <w:rFonts w:ascii="Calibri" w:hAnsi="Calibri" w:cs="Calibri"/>
                                <w:bCs/>
                                <w:sz w:val="18"/>
                                <w:szCs w:val="18"/>
                              </w:rPr>
                              <w:t xml:space="preserve">access-access, 10% </w:t>
                            </w:r>
                            <w:r>
                              <w:rPr>
                                <w:rFonts w:ascii="Calibri" w:hAnsi="Calibri" w:cs="Calibri"/>
                                <w:bCs/>
                                <w:sz w:val="18"/>
                                <w:szCs w:val="18"/>
                              </w:rPr>
                              <w:t xml:space="preserve">for </w:t>
                            </w:r>
                            <w:r w:rsidRPr="00237A5D">
                              <w:rPr>
                                <w:rFonts w:ascii="Calibri" w:hAnsi="Calibri" w:cs="Calibri"/>
                                <w:bCs/>
                                <w:sz w:val="18"/>
                                <w:szCs w:val="18"/>
                              </w:rPr>
                              <w:t>access-choice and 10% environment</w:t>
                            </w:r>
                            <w:r>
                              <w:rPr>
                                <w:rFonts w:ascii="Calibri" w:hAnsi="Calibri" w:cs="Calibri"/>
                                <w:bCs/>
                                <w:sz w:val="18"/>
                                <w:szCs w:val="18"/>
                              </w:rPr>
                              <w:t>. This split reflects the purpose of all activities placed under this work category and is the basis for estimating the value of investment outcomes of such activities.</w:t>
                            </w:r>
                          </w:p>
                        </w:txbxContent>
                      </wps:txbx>
                      <wps:bodyPr rot="0" vert="horz" wrap="square" lIns="91440" tIns="45720" rIns="91440" bIns="45720" anchor="t" anchorCtr="0">
                        <a:noAutofit/>
                      </wps:bodyPr>
                    </wps:wsp>
                  </a:graphicData>
                </a:graphic>
              </wp:anchor>
            </w:drawing>
          </mc:Choice>
          <mc:Fallback>
            <w:pict>
              <v:shape w14:anchorId="269A8118" id="_x0000_s1031" type="#_x0000_t202" style="position:absolute;margin-left:.4pt;margin-top:17.45pt;width:525.2pt;height:141.75pt;z-index:-251613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" fillcolor="#cfcdcd [2894]" strokecolor="black [3213]">
                <v:textbox>
                  <w:txbxContent>
                    <w:p w14:paraId="0D57BFB5" w14:textId="01FB293D" w:rsidR="00BC0FB3" w:rsidRDefault="00BC0FB3" w:rsidP="00CA2E33">
                      <w:pPr>
                        <w:pStyle w:val="BodyText"/>
                        <w:spacing w:before="120" w:after="120"/>
                        <w:ind w:right="-28"/>
                      </w:pPr>
                      <w:r w:rsidRPr="00B519CB">
                        <w:rPr>
                          <w:rFonts w:ascii="Calibri" w:hAnsi="Calibri" w:cs="Calibri"/>
                          <w:i/>
                          <w:sz w:val="18"/>
                          <w:szCs w:val="18"/>
                        </w:rPr>
                        <w:t>Data source</w:t>
                      </w:r>
                      <w:r w:rsidRPr="00B519CB">
                        <w:rPr>
                          <w:rFonts w:ascii="Calibri" w:hAnsi="Calibri" w:cs="Calibri"/>
                          <w:b/>
                          <w:bCs/>
                          <w:sz w:val="18"/>
                          <w:szCs w:val="18"/>
                        </w:rPr>
                        <w:t>:</w:t>
                      </w:r>
                      <w:r w:rsidRPr="00B519CB">
                        <w:rPr>
                          <w:rFonts w:ascii="Calibri" w:hAnsi="Calibri" w:cs="Calibri"/>
                          <w:bCs/>
                          <w:sz w:val="18"/>
                          <w:szCs w:val="18"/>
                        </w:rPr>
                        <w:t xml:space="preserve"> Waka Kotahi National </w:t>
                      </w:r>
                      <w:r>
                        <w:rPr>
                          <w:rFonts w:ascii="Calibri" w:hAnsi="Calibri" w:cs="Calibri"/>
                          <w:bCs/>
                          <w:sz w:val="18"/>
                          <w:szCs w:val="18"/>
                        </w:rPr>
                        <w:t>L</w:t>
                      </w:r>
                      <w:r w:rsidRPr="00B519CB">
                        <w:rPr>
                          <w:rFonts w:ascii="Calibri" w:hAnsi="Calibri" w:cs="Calibri"/>
                          <w:bCs/>
                          <w:sz w:val="18"/>
                          <w:szCs w:val="18"/>
                        </w:rPr>
                        <w:t xml:space="preserve">and Transport Fund annual report </w:t>
                      </w:r>
                      <w:r>
                        <w:rPr>
                          <w:rFonts w:ascii="Calibri" w:hAnsi="Calibri" w:cs="Calibri"/>
                          <w:bCs/>
                          <w:sz w:val="18"/>
                          <w:szCs w:val="18"/>
                        </w:rPr>
                        <w:t xml:space="preserve">2018/19 and </w:t>
                      </w:r>
                      <w:r w:rsidRPr="00B519CB">
                        <w:rPr>
                          <w:rFonts w:ascii="Calibri" w:hAnsi="Calibri" w:cs="Calibri"/>
                          <w:bCs/>
                          <w:sz w:val="18"/>
                          <w:szCs w:val="18"/>
                        </w:rPr>
                        <w:t>2019/20.</w:t>
                      </w:r>
                      <w:r w:rsidRPr="00B519CB">
                        <w:rPr>
                          <w:rFonts w:ascii="Calibri" w:hAnsi="Calibri" w:cs="Calibri"/>
                          <w:sz w:val="18"/>
                          <w:szCs w:val="18"/>
                        </w:rPr>
                        <w:t xml:space="preserve"> The figures show investment levels from the National Land Transport Fund, local share and the Crown, and excludes  investment from the Provincial Growth Fund, SuperGold Card funding and also investment in the Investment management activity class. </w:t>
                      </w:r>
                      <w:r>
                        <w:rPr>
                          <w:rFonts w:ascii="Calibri" w:hAnsi="Calibri" w:cs="Calibri"/>
                          <w:sz w:val="18"/>
                          <w:szCs w:val="18"/>
                        </w:rPr>
                        <w:t>I</w:t>
                      </w:r>
                      <w:r w:rsidRPr="00237A5D">
                        <w:rPr>
                          <w:rFonts w:ascii="Calibri" w:hAnsi="Calibri" w:cs="Calibri"/>
                          <w:sz w:val="18"/>
                          <w:szCs w:val="18"/>
                        </w:rPr>
                        <w:t xml:space="preserve">nvestment in outcomes is </w:t>
                      </w:r>
                      <w:r>
                        <w:rPr>
                          <w:rFonts w:ascii="Calibri" w:hAnsi="Calibri" w:cs="Calibri"/>
                          <w:sz w:val="18"/>
                          <w:szCs w:val="18"/>
                        </w:rPr>
                        <w:t xml:space="preserve">calculated using monetised benefits provided in Transport Investment Online. For example, a </w:t>
                      </w:r>
                      <w:r w:rsidRPr="00237A5D">
                        <w:rPr>
                          <w:rFonts w:ascii="Calibri" w:hAnsi="Calibri" w:cs="Calibri"/>
                          <w:sz w:val="18"/>
                          <w:szCs w:val="18"/>
                        </w:rPr>
                        <w:t>$1</w:t>
                      </w:r>
                      <w:r>
                        <w:rPr>
                          <w:rFonts w:ascii="Calibri" w:hAnsi="Calibri" w:cs="Calibri"/>
                          <w:sz w:val="18"/>
                          <w:szCs w:val="18"/>
                        </w:rPr>
                        <w:t xml:space="preserve"> </w:t>
                      </w:r>
                      <w:r w:rsidRPr="00237A5D">
                        <w:rPr>
                          <w:rFonts w:ascii="Calibri" w:hAnsi="Calibri" w:cs="Calibri"/>
                          <w:sz w:val="18"/>
                          <w:szCs w:val="18"/>
                        </w:rPr>
                        <w:t>m</w:t>
                      </w:r>
                      <w:r>
                        <w:rPr>
                          <w:rFonts w:ascii="Calibri" w:hAnsi="Calibri" w:cs="Calibri"/>
                          <w:sz w:val="18"/>
                          <w:szCs w:val="18"/>
                        </w:rPr>
                        <w:t>illion</w:t>
                      </w:r>
                      <w:r w:rsidRPr="00237A5D">
                        <w:rPr>
                          <w:rFonts w:ascii="Calibri" w:hAnsi="Calibri" w:cs="Calibri"/>
                          <w:sz w:val="18"/>
                          <w:szCs w:val="18"/>
                        </w:rPr>
                        <w:t xml:space="preserve"> </w:t>
                      </w:r>
                      <w:r>
                        <w:rPr>
                          <w:rFonts w:ascii="Calibri" w:hAnsi="Calibri" w:cs="Calibri"/>
                          <w:sz w:val="18"/>
                          <w:szCs w:val="18"/>
                        </w:rPr>
                        <w:t xml:space="preserve">improvement </w:t>
                      </w:r>
                      <w:r w:rsidRPr="00237A5D">
                        <w:rPr>
                          <w:rFonts w:ascii="Calibri" w:hAnsi="Calibri" w:cs="Calibri"/>
                          <w:sz w:val="18"/>
                          <w:szCs w:val="18"/>
                        </w:rPr>
                        <w:t>project with 60% of monetised benefits relating to safety and 40% of monetised benefits relating to access would generate $600,000 investment towards safety outcomes and $400,000 investment towards access outcomes.</w:t>
                      </w:r>
                      <w:r>
                        <w:rPr>
                          <w:rFonts w:ascii="Calibri" w:hAnsi="Calibri" w:cs="Calibri"/>
                          <w:sz w:val="18"/>
                          <w:szCs w:val="18"/>
                        </w:rPr>
                        <w:t xml:space="preserve"> For projects with no monetised benefits such as maintenance activities, calculations are dependent on </w:t>
                      </w:r>
                      <w:r w:rsidRPr="00237A5D">
                        <w:rPr>
                          <w:rFonts w:ascii="Calibri" w:hAnsi="Calibri" w:cs="Calibri"/>
                          <w:sz w:val="18"/>
                          <w:szCs w:val="18"/>
                        </w:rPr>
                        <w:t>the activity class, work category and primary benefit</w:t>
                      </w:r>
                      <w:r>
                        <w:rPr>
                          <w:rFonts w:ascii="Calibri" w:hAnsi="Calibri" w:cs="Calibri"/>
                          <w:sz w:val="18"/>
                          <w:szCs w:val="18"/>
                        </w:rPr>
                        <w:t>s identified</w:t>
                      </w:r>
                      <w:r w:rsidRPr="00237A5D">
                        <w:rPr>
                          <w:rFonts w:ascii="Calibri" w:hAnsi="Calibri" w:cs="Calibri"/>
                          <w:sz w:val="18"/>
                          <w:szCs w:val="18"/>
                        </w:rPr>
                        <w:t>.</w:t>
                      </w:r>
                      <w:r>
                        <w:rPr>
                          <w:rFonts w:ascii="Calibri" w:hAnsi="Calibri" w:cs="Calibri"/>
                          <w:sz w:val="18"/>
                          <w:szCs w:val="18"/>
                        </w:rPr>
                        <w:t xml:space="preserve"> </w:t>
                      </w:r>
                      <w:r>
                        <w:rPr>
                          <w:rFonts w:ascii="Calibri" w:hAnsi="Calibri" w:cs="Calibri"/>
                          <w:bCs/>
                          <w:sz w:val="18"/>
                          <w:szCs w:val="18"/>
                        </w:rPr>
                        <w:t xml:space="preserve"> For example, activities under the sealed pavement maintenance work category generate investment outcomes of </w:t>
                      </w:r>
                      <w:r w:rsidRPr="00237A5D">
                        <w:rPr>
                          <w:rFonts w:ascii="Calibri" w:hAnsi="Calibri" w:cs="Calibri"/>
                          <w:bCs/>
                          <w:sz w:val="18"/>
                          <w:szCs w:val="18"/>
                        </w:rPr>
                        <w:t xml:space="preserve">20% </w:t>
                      </w:r>
                      <w:r>
                        <w:rPr>
                          <w:rFonts w:ascii="Calibri" w:hAnsi="Calibri" w:cs="Calibri"/>
                          <w:bCs/>
                          <w:sz w:val="18"/>
                          <w:szCs w:val="18"/>
                        </w:rPr>
                        <w:t xml:space="preserve">for </w:t>
                      </w:r>
                      <w:r w:rsidRPr="00237A5D">
                        <w:rPr>
                          <w:rFonts w:ascii="Calibri" w:hAnsi="Calibri" w:cs="Calibri"/>
                          <w:bCs/>
                          <w:sz w:val="18"/>
                          <w:szCs w:val="18"/>
                        </w:rPr>
                        <w:t xml:space="preserve">safety, 60% </w:t>
                      </w:r>
                      <w:r>
                        <w:rPr>
                          <w:rFonts w:ascii="Calibri" w:hAnsi="Calibri" w:cs="Calibri"/>
                          <w:bCs/>
                          <w:sz w:val="18"/>
                          <w:szCs w:val="18"/>
                        </w:rPr>
                        <w:t xml:space="preserve">for </w:t>
                      </w:r>
                      <w:r w:rsidRPr="00237A5D">
                        <w:rPr>
                          <w:rFonts w:ascii="Calibri" w:hAnsi="Calibri" w:cs="Calibri"/>
                          <w:bCs/>
                          <w:sz w:val="18"/>
                          <w:szCs w:val="18"/>
                        </w:rPr>
                        <w:t xml:space="preserve">access-access, 10% </w:t>
                      </w:r>
                      <w:r>
                        <w:rPr>
                          <w:rFonts w:ascii="Calibri" w:hAnsi="Calibri" w:cs="Calibri"/>
                          <w:bCs/>
                          <w:sz w:val="18"/>
                          <w:szCs w:val="18"/>
                        </w:rPr>
                        <w:t xml:space="preserve">for </w:t>
                      </w:r>
                      <w:r w:rsidRPr="00237A5D">
                        <w:rPr>
                          <w:rFonts w:ascii="Calibri" w:hAnsi="Calibri" w:cs="Calibri"/>
                          <w:bCs/>
                          <w:sz w:val="18"/>
                          <w:szCs w:val="18"/>
                        </w:rPr>
                        <w:t>access-choice and 10% environment</w:t>
                      </w:r>
                      <w:r>
                        <w:rPr>
                          <w:rFonts w:ascii="Calibri" w:hAnsi="Calibri" w:cs="Calibri"/>
                          <w:bCs/>
                          <w:sz w:val="18"/>
                          <w:szCs w:val="18"/>
                        </w:rPr>
                        <w:t>. This split reflects the purpose of all activities placed under this work category and is the basis for estimating the value of investment outcomes of such activities.</w:t>
                      </w:r>
                    </w:p>
                  </w:txbxContent>
                </v:textbox>
                <w10:wrap type="tight"/>
              </v:shape>
            </w:pict>
          </mc:Fallback>
        </mc:AlternateContent>
      </w:r>
    </w:p>
    <w:p w14:paraId="2B9BA6B9" w14:textId="6DE3708E" w:rsidR="00CA2E33" w:rsidRPr="00CA2E33" w:rsidRDefault="00CA2E33" w:rsidP="00CA2E33"/>
    <w:bookmarkEnd w:id="9"/>
    <w:p w14:paraId="2EA4B96D" w14:textId="3D4000DD" w:rsidR="00754C13" w:rsidRPr="00340745" w:rsidRDefault="00340745" w:rsidP="00340745">
      <w:pPr>
        <w:pStyle w:val="Title"/>
        <w:rPr>
          <w:b/>
          <w:color w:val="F69E00"/>
          <w:u w:val="single"/>
        </w:rPr>
      </w:pPr>
      <w:r>
        <w:rPr>
          <w:b/>
          <w:color w:val="F69E00"/>
          <w:u w:val="single"/>
        </w:rPr>
        <w:t xml:space="preserve">Value for money </w:t>
      </w:r>
    </w:p>
    <w:p w14:paraId="71CF6F73" w14:textId="5E714A3B" w:rsidR="00764FB5" w:rsidRDefault="00764FB5" w:rsidP="00BC1EC5">
      <w:pPr>
        <w:pStyle w:val="Heading1"/>
        <w:ind w:left="0"/>
        <w:rPr>
          <w:rFonts w:asciiTheme="minorHAnsi" w:hAnsiTheme="minorHAnsi" w:cstheme="minorHAnsi"/>
          <w:color w:val="F69E00"/>
        </w:rPr>
      </w:pPr>
    </w:p>
    <w:p w14:paraId="006A5288" w14:textId="120C02AD" w:rsidR="003B42C9" w:rsidRDefault="003B42C9" w:rsidP="00BC1EC5">
      <w:pPr>
        <w:pStyle w:val="Heading1"/>
        <w:ind w:left="0"/>
        <w:rPr>
          <w:rStyle w:val="Strong"/>
          <w:rFonts w:asciiTheme="minorHAnsi" w:hAnsiTheme="minorHAnsi" w:cstheme="minorHAnsi"/>
          <w:b/>
          <w:color w:val="F69E00"/>
        </w:rPr>
      </w:pPr>
      <w:r w:rsidRPr="00BC1EC5">
        <w:rPr>
          <w:rFonts w:asciiTheme="minorHAnsi" w:hAnsiTheme="minorHAnsi" w:cstheme="minorHAnsi"/>
          <w:color w:val="F69E00"/>
        </w:rPr>
        <w:t>Investment and GPS</w:t>
      </w:r>
      <w:r w:rsidR="00BC1EC5" w:rsidRPr="00BC1EC5">
        <w:rPr>
          <w:rFonts w:asciiTheme="minorHAnsi" w:hAnsiTheme="minorHAnsi" w:cstheme="minorHAnsi"/>
          <w:color w:val="F69E00"/>
        </w:rPr>
        <w:t xml:space="preserve">: </w:t>
      </w:r>
      <w:r w:rsidRPr="00BC1EC5">
        <w:rPr>
          <w:rStyle w:val="Strong"/>
          <w:rFonts w:asciiTheme="minorHAnsi" w:hAnsiTheme="minorHAnsi" w:cstheme="minorHAnsi"/>
          <w:b/>
          <w:color w:val="F69E00"/>
        </w:rPr>
        <w:t>Aligning investment with GPS priorities</w:t>
      </w:r>
    </w:p>
    <w:p w14:paraId="09ECED46" w14:textId="40C99451" w:rsidR="00BC1EC5" w:rsidRDefault="00BC1EC5" w:rsidP="00BC1EC5">
      <w:r w:rsidRPr="00BC1EC5">
        <w:t>The National Land Transport Programme (NLTP) is expected to align with the GPS priorities.</w:t>
      </w:r>
      <w:r>
        <w:t xml:space="preserve"> </w:t>
      </w:r>
      <w:r w:rsidR="00A8047F">
        <w:t xml:space="preserve">From 2018/19 to </w:t>
      </w:r>
      <w:r>
        <w:t xml:space="preserve">2019/20, </w:t>
      </w:r>
      <w:r w:rsidR="008D1A97">
        <w:t>close to $6</w:t>
      </w:r>
      <w:r w:rsidR="00A8047F">
        <w:t>.5</w:t>
      </w:r>
      <w:r w:rsidR="008D1A97">
        <w:t xml:space="preserve"> billion, or </w:t>
      </w:r>
      <w:r w:rsidR="00A8047F">
        <w:t>64</w:t>
      </w:r>
      <w:r>
        <w:t xml:space="preserve">% </w:t>
      </w:r>
      <w:r w:rsidR="0022519E">
        <w:t>of investment</w:t>
      </w:r>
      <w:r>
        <w:t xml:space="preserve">, </w:t>
      </w:r>
      <w:r w:rsidR="00E16AF4">
        <w:t xml:space="preserve">was spent on </w:t>
      </w:r>
      <w:r>
        <w:t xml:space="preserve">the Access priority </w:t>
      </w:r>
      <w:r w:rsidR="008D1A97">
        <w:t xml:space="preserve">(including Access, Choice and Resilience). </w:t>
      </w:r>
    </w:p>
    <w:tbl>
      <w:tblPr>
        <w:tblStyle w:val="GridTable4-Accent11"/>
        <w:tblW w:w="0" w:type="auto"/>
        <w:tblLook w:val="04A0" w:firstRow="1" w:lastRow="0" w:firstColumn="1" w:lastColumn="0" w:noHBand="0" w:noVBand="1"/>
      </w:tblPr>
      <w:tblGrid>
        <w:gridCol w:w="2393"/>
        <w:gridCol w:w="3029"/>
        <w:gridCol w:w="2235"/>
        <w:gridCol w:w="2418"/>
      </w:tblGrid>
      <w:tr w:rsidR="00781827" w14:paraId="73089069" w14:textId="77777777" w:rsidTr="000C008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shd w:val="clear" w:color="auto" w:fill="F69E00"/>
            <w:noWrap/>
            <w:hideMark/>
          </w:tcPr>
          <w:p w14:paraId="293FDBCE" w14:textId="77777777" w:rsidR="0055215F" w:rsidRDefault="0055215F" w:rsidP="0055215F"/>
        </w:tc>
        <w:tc>
          <w:tcPr>
            <w:tcW w:w="0" w:type="auto"/>
            <w:shd w:val="clear" w:color="auto" w:fill="F69E00"/>
            <w:noWrap/>
            <w:hideMark/>
          </w:tcPr>
          <w:p w14:paraId="11E03851" w14:textId="77777777" w:rsidR="0055215F" w:rsidRDefault="0055215F" w:rsidP="00781827">
            <w:pPr>
              <w:jc w:val="right"/>
              <w:cnfStyle w:val="100000000000" w:firstRow="1" w:lastRow="0" w:firstColumn="0" w:lastColumn="0" w:oddVBand="0" w:evenVBand="0" w:oddHBand="0" w:evenHBand="0" w:firstRowFirstColumn="0" w:firstRowLastColumn="0" w:lastRowFirstColumn="0" w:lastRowLastColumn="0"/>
              <w:rPr>
                <w:rFonts w:ascii="Calibri" w:hAnsi="Calibri" w:cs="Calibri"/>
              </w:rPr>
            </w:pPr>
            <w:r>
              <w:t>2018/19</w:t>
            </w:r>
          </w:p>
        </w:tc>
        <w:tc>
          <w:tcPr>
            <w:tcW w:w="0" w:type="auto"/>
            <w:shd w:val="clear" w:color="auto" w:fill="F69E00"/>
            <w:noWrap/>
            <w:hideMark/>
          </w:tcPr>
          <w:p w14:paraId="61DD4408" w14:textId="63D753DD" w:rsidR="0055215F" w:rsidRDefault="0055215F" w:rsidP="00781827">
            <w:pPr>
              <w:jc w:val="right"/>
              <w:cnfStyle w:val="100000000000" w:firstRow="1" w:lastRow="0" w:firstColumn="0" w:lastColumn="0" w:oddVBand="0" w:evenVBand="0" w:oddHBand="0" w:evenHBand="0" w:firstRowFirstColumn="0" w:firstRowLastColumn="0" w:lastRowFirstColumn="0" w:lastRowLastColumn="0"/>
            </w:pPr>
            <w:r>
              <w:t>2019/20</w:t>
            </w:r>
          </w:p>
        </w:tc>
        <w:tc>
          <w:tcPr>
            <w:tcW w:w="0" w:type="auto"/>
            <w:shd w:val="clear" w:color="auto" w:fill="F69E00"/>
            <w:noWrap/>
            <w:hideMark/>
          </w:tcPr>
          <w:p w14:paraId="0087C120" w14:textId="77777777" w:rsidR="0055215F" w:rsidRDefault="0055215F" w:rsidP="00781827">
            <w:pPr>
              <w:jc w:val="right"/>
              <w:cnfStyle w:val="100000000000" w:firstRow="1" w:lastRow="0" w:firstColumn="0" w:lastColumn="0" w:oddVBand="0" w:evenVBand="0" w:oddHBand="0" w:evenHBand="0" w:firstRowFirstColumn="0" w:firstRowLastColumn="0" w:lastRowFirstColumn="0" w:lastRowLastColumn="0"/>
            </w:pPr>
            <w:r>
              <w:t>Total</w:t>
            </w:r>
          </w:p>
        </w:tc>
      </w:tr>
      <w:tr w:rsidR="000C0082" w14:paraId="403B0AE6" w14:textId="77777777" w:rsidTr="000C00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shd w:val="clear" w:color="auto" w:fill="FFD589"/>
            <w:noWrap/>
            <w:hideMark/>
          </w:tcPr>
          <w:p w14:paraId="2A98F74B" w14:textId="671633B9" w:rsidR="000C0082" w:rsidRPr="009766A7" w:rsidRDefault="000C0082" w:rsidP="000C0082">
            <w:pPr>
              <w:rPr>
                <w:b w:val="0"/>
              </w:rPr>
            </w:pPr>
            <w:r w:rsidRPr="009766A7">
              <w:rPr>
                <w:b w:val="0"/>
              </w:rPr>
              <w:t>Safety</w:t>
            </w:r>
          </w:p>
        </w:tc>
        <w:tc>
          <w:tcPr>
            <w:tcW w:w="0" w:type="auto"/>
            <w:shd w:val="clear" w:color="auto" w:fill="FFD589"/>
            <w:noWrap/>
            <w:hideMark/>
          </w:tcPr>
          <w:p w14:paraId="4953D3E2" w14:textId="3C562F80" w:rsidR="000C0082" w:rsidRDefault="000C0082" w:rsidP="000C0082">
            <w:pPr>
              <w:jc w:val="right"/>
              <w:cnfStyle w:val="000000100000" w:firstRow="0" w:lastRow="0" w:firstColumn="0" w:lastColumn="0" w:oddVBand="0" w:evenVBand="0" w:oddHBand="1" w:evenHBand="0" w:firstRowFirstColumn="0" w:firstRowLastColumn="0" w:lastRowFirstColumn="0" w:lastRowLastColumn="0"/>
            </w:pPr>
            <w:r>
              <w:t xml:space="preserve">                  1,342,943,968.95 </w:t>
            </w:r>
          </w:p>
        </w:tc>
        <w:tc>
          <w:tcPr>
            <w:tcW w:w="0" w:type="auto"/>
            <w:shd w:val="clear" w:color="auto" w:fill="FFD589"/>
            <w:noWrap/>
            <w:hideMark/>
          </w:tcPr>
          <w:p w14:paraId="2FF46490" w14:textId="4714383F" w:rsidR="000C0082" w:rsidRDefault="000C0082" w:rsidP="000C0082">
            <w:pPr>
              <w:jc w:val="right"/>
              <w:cnfStyle w:val="000000100000" w:firstRow="0" w:lastRow="0" w:firstColumn="0" w:lastColumn="0" w:oddVBand="0" w:evenVBand="0" w:oddHBand="1" w:evenHBand="0" w:firstRowFirstColumn="0" w:firstRowLastColumn="0" w:lastRowFirstColumn="0" w:lastRowLastColumn="0"/>
            </w:pPr>
            <w:r>
              <w:t xml:space="preserve"> $       1,503,253,833 </w:t>
            </w:r>
          </w:p>
        </w:tc>
        <w:tc>
          <w:tcPr>
            <w:tcW w:w="0" w:type="auto"/>
            <w:shd w:val="clear" w:color="auto" w:fill="FFD589"/>
            <w:noWrap/>
            <w:hideMark/>
          </w:tcPr>
          <w:p w14:paraId="4DC2AB86" w14:textId="4319E667" w:rsidR="000C0082" w:rsidRDefault="000C0082" w:rsidP="000C0082">
            <w:pPr>
              <w:jc w:val="right"/>
              <w:cnfStyle w:val="000000100000" w:firstRow="0" w:lastRow="0" w:firstColumn="0" w:lastColumn="0" w:oddVBand="0" w:evenVBand="0" w:oddHBand="1" w:evenHBand="0" w:firstRowFirstColumn="0" w:firstRowLastColumn="0" w:lastRowFirstColumn="0" w:lastRowLastColumn="0"/>
            </w:pPr>
            <w:r>
              <w:t xml:space="preserve">           $2,846,197,802 </w:t>
            </w:r>
          </w:p>
        </w:tc>
      </w:tr>
      <w:tr w:rsidR="000C0082" w14:paraId="4162DF47" w14:textId="77777777" w:rsidTr="000C0082">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41DDD84" w14:textId="59CB4085" w:rsidR="000C0082" w:rsidRPr="009766A7" w:rsidRDefault="000C0082" w:rsidP="000C0082">
            <w:pPr>
              <w:rPr>
                <w:b w:val="0"/>
              </w:rPr>
            </w:pPr>
            <w:r w:rsidRPr="009766A7">
              <w:rPr>
                <w:b w:val="0"/>
              </w:rPr>
              <w:t>Environment</w:t>
            </w:r>
          </w:p>
        </w:tc>
        <w:tc>
          <w:tcPr>
            <w:tcW w:w="0" w:type="auto"/>
            <w:noWrap/>
            <w:hideMark/>
          </w:tcPr>
          <w:p w14:paraId="78C7E120" w14:textId="0CBBEEA8" w:rsidR="000C0082" w:rsidRDefault="000C0082" w:rsidP="000C0082">
            <w:pPr>
              <w:jc w:val="right"/>
              <w:cnfStyle w:val="000000000000" w:firstRow="0" w:lastRow="0" w:firstColumn="0" w:lastColumn="0" w:oddVBand="0" w:evenVBand="0" w:oddHBand="0" w:evenHBand="0" w:firstRowFirstColumn="0" w:firstRowLastColumn="0" w:lastRowFirstColumn="0" w:lastRowLastColumn="0"/>
            </w:pPr>
            <w:r>
              <w:t xml:space="preserve">                     646,917,805.92 </w:t>
            </w:r>
          </w:p>
        </w:tc>
        <w:tc>
          <w:tcPr>
            <w:tcW w:w="0" w:type="auto"/>
            <w:noWrap/>
            <w:hideMark/>
          </w:tcPr>
          <w:p w14:paraId="2714701A" w14:textId="66E250D8" w:rsidR="000C0082" w:rsidRDefault="000C0082" w:rsidP="000C0082">
            <w:pPr>
              <w:jc w:val="right"/>
              <w:cnfStyle w:val="000000000000" w:firstRow="0" w:lastRow="0" w:firstColumn="0" w:lastColumn="0" w:oddVBand="0" w:evenVBand="0" w:oddHBand="0" w:evenHBand="0" w:firstRowFirstColumn="0" w:firstRowLastColumn="0" w:lastRowFirstColumn="0" w:lastRowLastColumn="0"/>
            </w:pPr>
            <w:r>
              <w:t xml:space="preserve"> $          693,115,985 </w:t>
            </w:r>
          </w:p>
        </w:tc>
        <w:tc>
          <w:tcPr>
            <w:tcW w:w="0" w:type="auto"/>
            <w:noWrap/>
            <w:hideMark/>
          </w:tcPr>
          <w:p w14:paraId="561D6970" w14:textId="42EF12D0" w:rsidR="000C0082" w:rsidRDefault="000C0082" w:rsidP="000C0082">
            <w:pPr>
              <w:jc w:val="right"/>
              <w:cnfStyle w:val="000000000000" w:firstRow="0" w:lastRow="0" w:firstColumn="0" w:lastColumn="0" w:oddVBand="0" w:evenVBand="0" w:oddHBand="0" w:evenHBand="0" w:firstRowFirstColumn="0" w:firstRowLastColumn="0" w:lastRowFirstColumn="0" w:lastRowLastColumn="0"/>
            </w:pPr>
            <w:r>
              <w:t xml:space="preserve">           $1,340,033,791 </w:t>
            </w:r>
          </w:p>
        </w:tc>
      </w:tr>
      <w:tr w:rsidR="000C0082" w14:paraId="7BB8AA53" w14:textId="77777777" w:rsidTr="000C00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shd w:val="clear" w:color="auto" w:fill="FFD589"/>
            <w:noWrap/>
            <w:hideMark/>
          </w:tcPr>
          <w:p w14:paraId="091C8EB9" w14:textId="65771DA8" w:rsidR="000C0082" w:rsidRPr="009766A7" w:rsidRDefault="000C0082" w:rsidP="000C0082">
            <w:pPr>
              <w:rPr>
                <w:b w:val="0"/>
              </w:rPr>
            </w:pPr>
            <w:r w:rsidRPr="009766A7">
              <w:rPr>
                <w:b w:val="0"/>
              </w:rPr>
              <w:t>Access-Resilience</w:t>
            </w:r>
          </w:p>
        </w:tc>
        <w:tc>
          <w:tcPr>
            <w:tcW w:w="0" w:type="auto"/>
            <w:shd w:val="clear" w:color="auto" w:fill="FFD589"/>
            <w:noWrap/>
            <w:hideMark/>
          </w:tcPr>
          <w:p w14:paraId="279C0036" w14:textId="7E027DA8" w:rsidR="000C0082" w:rsidRDefault="000C0082" w:rsidP="000C0082">
            <w:pPr>
              <w:jc w:val="right"/>
              <w:cnfStyle w:val="000000100000" w:firstRow="0" w:lastRow="0" w:firstColumn="0" w:lastColumn="0" w:oddVBand="0" w:evenVBand="0" w:oddHBand="1" w:evenHBand="0" w:firstRowFirstColumn="0" w:firstRowLastColumn="0" w:lastRowFirstColumn="0" w:lastRowLastColumn="0"/>
            </w:pPr>
            <w:r>
              <w:t xml:space="preserve">                       61,515,225.25 </w:t>
            </w:r>
          </w:p>
        </w:tc>
        <w:tc>
          <w:tcPr>
            <w:tcW w:w="0" w:type="auto"/>
            <w:shd w:val="clear" w:color="auto" w:fill="FFD589"/>
            <w:noWrap/>
            <w:hideMark/>
          </w:tcPr>
          <w:p w14:paraId="26C0E984" w14:textId="2B8351AF" w:rsidR="000C0082" w:rsidRDefault="000C0082" w:rsidP="000C0082">
            <w:pPr>
              <w:jc w:val="right"/>
              <w:cnfStyle w:val="000000100000" w:firstRow="0" w:lastRow="0" w:firstColumn="0" w:lastColumn="0" w:oddVBand="0" w:evenVBand="0" w:oddHBand="1" w:evenHBand="0" w:firstRowFirstColumn="0" w:firstRowLastColumn="0" w:lastRowFirstColumn="0" w:lastRowLastColumn="0"/>
            </w:pPr>
            <w:r>
              <w:t xml:space="preserve"> $          187,820,371 </w:t>
            </w:r>
          </w:p>
        </w:tc>
        <w:tc>
          <w:tcPr>
            <w:tcW w:w="0" w:type="auto"/>
            <w:shd w:val="clear" w:color="auto" w:fill="FFD589"/>
            <w:noWrap/>
            <w:hideMark/>
          </w:tcPr>
          <w:p w14:paraId="51CB34E2" w14:textId="4EC66E2C" w:rsidR="000C0082" w:rsidRDefault="000C0082" w:rsidP="000C0082">
            <w:pPr>
              <w:jc w:val="right"/>
              <w:cnfStyle w:val="000000100000" w:firstRow="0" w:lastRow="0" w:firstColumn="0" w:lastColumn="0" w:oddVBand="0" w:evenVBand="0" w:oddHBand="1" w:evenHBand="0" w:firstRowFirstColumn="0" w:firstRowLastColumn="0" w:lastRowFirstColumn="0" w:lastRowLastColumn="0"/>
            </w:pPr>
            <w:r>
              <w:t xml:space="preserve">             $249,335,596 </w:t>
            </w:r>
          </w:p>
        </w:tc>
      </w:tr>
      <w:tr w:rsidR="000C0082" w14:paraId="6A288773" w14:textId="77777777" w:rsidTr="000C0082">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766B2564" w14:textId="25B9B317" w:rsidR="000C0082" w:rsidRPr="009766A7" w:rsidRDefault="000C0082" w:rsidP="000C0082">
            <w:pPr>
              <w:rPr>
                <w:b w:val="0"/>
              </w:rPr>
            </w:pPr>
            <w:r w:rsidRPr="009766A7">
              <w:rPr>
                <w:b w:val="0"/>
              </w:rPr>
              <w:t>Access-Choice</w:t>
            </w:r>
          </w:p>
        </w:tc>
        <w:tc>
          <w:tcPr>
            <w:tcW w:w="0" w:type="auto"/>
            <w:noWrap/>
            <w:hideMark/>
          </w:tcPr>
          <w:p w14:paraId="07865542" w14:textId="425A94EA" w:rsidR="000C0082" w:rsidRDefault="000C0082" w:rsidP="000C0082">
            <w:pPr>
              <w:jc w:val="right"/>
              <w:cnfStyle w:val="000000000000" w:firstRow="0" w:lastRow="0" w:firstColumn="0" w:lastColumn="0" w:oddVBand="0" w:evenVBand="0" w:oddHBand="0" w:evenHBand="0" w:firstRowFirstColumn="0" w:firstRowLastColumn="0" w:lastRowFirstColumn="0" w:lastRowLastColumn="0"/>
            </w:pPr>
            <w:r>
              <w:t xml:space="preserve">                     327,806,190.12 </w:t>
            </w:r>
          </w:p>
        </w:tc>
        <w:tc>
          <w:tcPr>
            <w:tcW w:w="0" w:type="auto"/>
            <w:noWrap/>
            <w:hideMark/>
          </w:tcPr>
          <w:p w14:paraId="4781760E" w14:textId="7D2F26F0" w:rsidR="000C0082" w:rsidRDefault="000C0082" w:rsidP="000C0082">
            <w:pPr>
              <w:jc w:val="right"/>
              <w:cnfStyle w:val="000000000000" w:firstRow="0" w:lastRow="0" w:firstColumn="0" w:lastColumn="0" w:oddVBand="0" w:evenVBand="0" w:oddHBand="0" w:evenHBand="0" w:firstRowFirstColumn="0" w:firstRowLastColumn="0" w:lastRowFirstColumn="0" w:lastRowLastColumn="0"/>
            </w:pPr>
            <w:r>
              <w:t xml:space="preserve"> $          473,483,733 </w:t>
            </w:r>
          </w:p>
        </w:tc>
        <w:tc>
          <w:tcPr>
            <w:tcW w:w="0" w:type="auto"/>
            <w:noWrap/>
            <w:hideMark/>
          </w:tcPr>
          <w:p w14:paraId="4C9ACFF3" w14:textId="35C1A68F" w:rsidR="000C0082" w:rsidRDefault="000C0082" w:rsidP="000C0082">
            <w:pPr>
              <w:jc w:val="right"/>
              <w:cnfStyle w:val="000000000000" w:firstRow="0" w:lastRow="0" w:firstColumn="0" w:lastColumn="0" w:oddVBand="0" w:evenVBand="0" w:oddHBand="0" w:evenHBand="0" w:firstRowFirstColumn="0" w:firstRowLastColumn="0" w:lastRowFirstColumn="0" w:lastRowLastColumn="0"/>
            </w:pPr>
            <w:r>
              <w:t xml:space="preserve">              $801,289,923 </w:t>
            </w:r>
          </w:p>
        </w:tc>
      </w:tr>
      <w:tr w:rsidR="000C0082" w14:paraId="17CAFD20" w14:textId="77777777" w:rsidTr="000C00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shd w:val="clear" w:color="auto" w:fill="FFD589"/>
            <w:noWrap/>
            <w:hideMark/>
          </w:tcPr>
          <w:p w14:paraId="2FE12F61" w14:textId="601832E6" w:rsidR="000C0082" w:rsidRPr="009766A7" w:rsidRDefault="000C0082" w:rsidP="000C0082">
            <w:pPr>
              <w:rPr>
                <w:b w:val="0"/>
              </w:rPr>
            </w:pPr>
            <w:r w:rsidRPr="009766A7">
              <w:rPr>
                <w:b w:val="0"/>
              </w:rPr>
              <w:t>Access-Access</w:t>
            </w:r>
          </w:p>
        </w:tc>
        <w:tc>
          <w:tcPr>
            <w:tcW w:w="0" w:type="auto"/>
            <w:shd w:val="clear" w:color="auto" w:fill="FFD589"/>
            <w:noWrap/>
            <w:hideMark/>
          </w:tcPr>
          <w:p w14:paraId="6CE36597" w14:textId="11F36CE1" w:rsidR="000C0082" w:rsidRDefault="000C0082" w:rsidP="000C0082">
            <w:pPr>
              <w:jc w:val="right"/>
              <w:cnfStyle w:val="000000100000" w:firstRow="0" w:lastRow="0" w:firstColumn="0" w:lastColumn="0" w:oddVBand="0" w:evenVBand="0" w:oddHBand="1" w:evenHBand="0" w:firstRowFirstColumn="0" w:firstRowLastColumn="0" w:lastRowFirstColumn="0" w:lastRowLastColumn="0"/>
            </w:pPr>
            <w:r>
              <w:t xml:space="preserve">                  2,481,961,153.76 </w:t>
            </w:r>
          </w:p>
        </w:tc>
        <w:tc>
          <w:tcPr>
            <w:tcW w:w="0" w:type="auto"/>
            <w:shd w:val="clear" w:color="auto" w:fill="FFD589"/>
            <w:noWrap/>
            <w:hideMark/>
          </w:tcPr>
          <w:p w14:paraId="6ABD4B63" w14:textId="435087E6" w:rsidR="000C0082" w:rsidRDefault="000C0082" w:rsidP="000C0082">
            <w:pPr>
              <w:jc w:val="right"/>
              <w:cnfStyle w:val="000000100000" w:firstRow="0" w:lastRow="0" w:firstColumn="0" w:lastColumn="0" w:oddVBand="0" w:evenVBand="0" w:oddHBand="1" w:evenHBand="0" w:firstRowFirstColumn="0" w:firstRowLastColumn="0" w:lastRowFirstColumn="0" w:lastRowLastColumn="0"/>
            </w:pPr>
            <w:r>
              <w:t xml:space="preserve"> $       2,417,881,393 </w:t>
            </w:r>
          </w:p>
        </w:tc>
        <w:tc>
          <w:tcPr>
            <w:tcW w:w="0" w:type="auto"/>
            <w:shd w:val="clear" w:color="auto" w:fill="FFD589"/>
            <w:noWrap/>
            <w:hideMark/>
          </w:tcPr>
          <w:p w14:paraId="7B0206C7" w14:textId="0A95E514" w:rsidR="000C0082" w:rsidRDefault="000C0082" w:rsidP="000C0082">
            <w:pPr>
              <w:jc w:val="right"/>
              <w:cnfStyle w:val="000000100000" w:firstRow="0" w:lastRow="0" w:firstColumn="0" w:lastColumn="0" w:oddVBand="0" w:evenVBand="0" w:oddHBand="1" w:evenHBand="0" w:firstRowFirstColumn="0" w:firstRowLastColumn="0" w:lastRowFirstColumn="0" w:lastRowLastColumn="0"/>
            </w:pPr>
            <w:r>
              <w:t xml:space="preserve">           $4,899,842,547 </w:t>
            </w:r>
          </w:p>
        </w:tc>
      </w:tr>
      <w:tr w:rsidR="000C0082" w14:paraId="61429A86" w14:textId="77777777" w:rsidTr="000C0082">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15D7FC7" w14:textId="46FD6330" w:rsidR="000C0082" w:rsidRPr="008C6D4B" w:rsidRDefault="000C0082" w:rsidP="000C0082">
            <w:pPr>
              <w:rPr>
                <w:b w:val="0"/>
                <w:bCs w:val="0"/>
              </w:rPr>
            </w:pPr>
            <w:r w:rsidRPr="008C6D4B">
              <w:rPr>
                <w:b w:val="0"/>
                <w:bCs w:val="0"/>
              </w:rPr>
              <w:t>Total cost for approval</w:t>
            </w:r>
          </w:p>
        </w:tc>
        <w:tc>
          <w:tcPr>
            <w:tcW w:w="0" w:type="auto"/>
            <w:noWrap/>
            <w:hideMark/>
          </w:tcPr>
          <w:p w14:paraId="5AFBD640" w14:textId="1AE50C5C" w:rsidR="000C0082" w:rsidRPr="009766A7" w:rsidRDefault="000C0082" w:rsidP="000C0082">
            <w:pPr>
              <w:jc w:val="right"/>
              <w:cnfStyle w:val="000000000000" w:firstRow="0" w:lastRow="0" w:firstColumn="0" w:lastColumn="0" w:oddVBand="0" w:evenVBand="0" w:oddHBand="0" w:evenHBand="0" w:firstRowFirstColumn="0" w:firstRowLastColumn="0" w:lastRowFirstColumn="0" w:lastRowLastColumn="0"/>
              <w:rPr>
                <w:bCs/>
              </w:rPr>
            </w:pPr>
            <w:r>
              <w:t xml:space="preserve">                  4,861,144,344.00 </w:t>
            </w:r>
          </w:p>
        </w:tc>
        <w:tc>
          <w:tcPr>
            <w:tcW w:w="0" w:type="auto"/>
            <w:noWrap/>
            <w:hideMark/>
          </w:tcPr>
          <w:p w14:paraId="0A5730BE" w14:textId="0F6CCFC5" w:rsidR="000C0082" w:rsidRPr="009766A7" w:rsidRDefault="000C0082" w:rsidP="000C0082">
            <w:pPr>
              <w:jc w:val="right"/>
              <w:cnfStyle w:val="000000000000" w:firstRow="0" w:lastRow="0" w:firstColumn="0" w:lastColumn="0" w:oddVBand="0" w:evenVBand="0" w:oddHBand="0" w:evenHBand="0" w:firstRowFirstColumn="0" w:firstRowLastColumn="0" w:lastRowFirstColumn="0" w:lastRowLastColumn="0"/>
              <w:rPr>
                <w:bCs/>
              </w:rPr>
            </w:pPr>
            <w:r>
              <w:t xml:space="preserve"> $       5,275,555,316 </w:t>
            </w:r>
          </w:p>
        </w:tc>
        <w:tc>
          <w:tcPr>
            <w:tcW w:w="0" w:type="auto"/>
            <w:noWrap/>
            <w:hideMark/>
          </w:tcPr>
          <w:p w14:paraId="4DF5942E" w14:textId="22E87378" w:rsidR="000C0082" w:rsidRPr="009766A7" w:rsidRDefault="000C0082" w:rsidP="000C0082">
            <w:pPr>
              <w:jc w:val="right"/>
              <w:cnfStyle w:val="000000000000" w:firstRow="0" w:lastRow="0" w:firstColumn="0" w:lastColumn="0" w:oddVBand="0" w:evenVBand="0" w:oddHBand="0" w:evenHBand="0" w:firstRowFirstColumn="0" w:firstRowLastColumn="0" w:lastRowFirstColumn="0" w:lastRowLastColumn="0"/>
              <w:rPr>
                <w:bCs/>
              </w:rPr>
            </w:pPr>
            <w:r>
              <w:t xml:space="preserve">         $10,136,699,660 </w:t>
            </w:r>
          </w:p>
        </w:tc>
      </w:tr>
    </w:tbl>
    <w:p w14:paraId="38AA7839" w14:textId="521D13AF" w:rsidR="0055215F" w:rsidRDefault="008C6D4B" w:rsidP="00BC1EC5">
      <w:r w:rsidRPr="00BC1EC5">
        <w:rPr>
          <w:rFonts w:eastAsiaTheme="majorEastAsia"/>
          <w:noProof/>
          <w:color w:val="2E74B5" w:themeColor="accent1" w:themeShade="BF"/>
          <w:sz w:val="32"/>
          <w:szCs w:val="32"/>
          <w:lang w:eastAsia="en-NZ"/>
        </w:rPr>
        <w:lastRenderedPageBreak/>
        <mc:AlternateContent>
          <mc:Choice Requires="wps">
            <w:drawing>
              <wp:inline distT="0" distB="0" distL="0" distR="0" wp14:anchorId="374DCB5A" wp14:editId="68088784">
                <wp:extent cx="6636385" cy="1754257"/>
                <wp:effectExtent l="0" t="0" r="12065" b="1778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6385" cy="1754257"/>
                        </a:xfrm>
                        <a:prstGeom prst="rect">
                          <a:avLst/>
                        </a:prstGeom>
                        <a:solidFill>
                          <a:schemeClr val="bg2">
                            <a:lumMod val="90000"/>
                          </a:schemeClr>
                        </a:solidFill>
                        <a:ln w="9525">
                          <a:solidFill>
                            <a:schemeClr val="tx1"/>
                          </a:solidFill>
                          <a:miter lim="800000"/>
                          <a:headEnd/>
                          <a:tailEnd/>
                        </a:ln>
                      </wps:spPr>
                      <wps:txbx>
                        <w:txbxContent>
                          <w:p w14:paraId="05118CC2" w14:textId="5770A32F" w:rsidR="00BC0FB3" w:rsidRDefault="00BC0FB3" w:rsidP="00C234F0">
                            <w:pPr>
                              <w:pStyle w:val="BodyText"/>
                              <w:spacing w:before="120" w:after="120"/>
                              <w:ind w:right="-28"/>
                              <w:rPr>
                                <w:rFonts w:asciiTheme="minorHAnsi" w:hAnsiTheme="minorHAnsi" w:cstheme="minorHAnsi"/>
                                <w:bCs/>
                                <w:sz w:val="18"/>
                                <w:szCs w:val="18"/>
                              </w:rPr>
                            </w:pPr>
                            <w:r w:rsidRPr="0085741E">
                              <w:rPr>
                                <w:rFonts w:asciiTheme="minorHAnsi" w:hAnsiTheme="minorHAnsi" w:cstheme="minorHAnsi"/>
                                <w:i/>
                                <w:sz w:val="18"/>
                                <w:szCs w:val="18"/>
                              </w:rPr>
                              <w:t>Data source:</w:t>
                            </w:r>
                            <w:r w:rsidRPr="0085741E">
                              <w:rPr>
                                <w:rFonts w:asciiTheme="minorHAnsi" w:hAnsiTheme="minorHAnsi" w:cstheme="minorHAnsi"/>
                                <w:sz w:val="18"/>
                                <w:szCs w:val="18"/>
                              </w:rPr>
                              <w:t xml:space="preserve"> Waka Kotahi. The figures show investment levels from the National Land Transport Fund, local share and the Crown, and excludes  investment from the Provincial Growth Fund, SuperGold Card funding and also investment in the Investment management activity class. </w:t>
                            </w:r>
                          </w:p>
                          <w:p w14:paraId="50FC9060" w14:textId="0EEB7D15" w:rsidR="00BC0FB3" w:rsidRPr="0094749B" w:rsidRDefault="00BC0FB3" w:rsidP="0022519E">
                            <w:pPr>
                              <w:spacing w:before="120" w:after="120"/>
                              <w:rPr>
                                <w:rFonts w:asciiTheme="minorHAnsi" w:hAnsiTheme="minorHAnsi" w:cstheme="minorHAnsi"/>
                                <w:sz w:val="16"/>
                                <w:szCs w:val="16"/>
                              </w:rPr>
                            </w:pPr>
                            <w:r>
                              <w:rPr>
                                <w:rFonts w:ascii="Calibri" w:hAnsi="Calibri" w:cs="Calibri"/>
                                <w:sz w:val="18"/>
                                <w:szCs w:val="18"/>
                              </w:rPr>
                              <w:t>I</w:t>
                            </w:r>
                            <w:r w:rsidRPr="00237A5D">
                              <w:rPr>
                                <w:rFonts w:ascii="Calibri" w:hAnsi="Calibri" w:cs="Calibri"/>
                                <w:sz w:val="18"/>
                                <w:szCs w:val="18"/>
                              </w:rPr>
                              <w:t xml:space="preserve">nvestment in outcomes is </w:t>
                            </w:r>
                            <w:r>
                              <w:rPr>
                                <w:rFonts w:ascii="Calibri" w:hAnsi="Calibri" w:cs="Calibri"/>
                                <w:sz w:val="18"/>
                                <w:szCs w:val="18"/>
                              </w:rPr>
                              <w:t xml:space="preserve">calculated using monetised benefits provided in Transport Investment Online. For example, a </w:t>
                            </w:r>
                            <w:r w:rsidRPr="00237A5D">
                              <w:rPr>
                                <w:rFonts w:ascii="Calibri" w:hAnsi="Calibri" w:cs="Calibri"/>
                                <w:sz w:val="18"/>
                                <w:szCs w:val="18"/>
                              </w:rPr>
                              <w:t>$1</w:t>
                            </w:r>
                            <w:r>
                              <w:rPr>
                                <w:rFonts w:ascii="Calibri" w:hAnsi="Calibri" w:cs="Calibri"/>
                                <w:sz w:val="18"/>
                                <w:szCs w:val="18"/>
                              </w:rPr>
                              <w:t xml:space="preserve"> </w:t>
                            </w:r>
                            <w:r w:rsidRPr="00237A5D">
                              <w:rPr>
                                <w:rFonts w:ascii="Calibri" w:hAnsi="Calibri" w:cs="Calibri"/>
                                <w:sz w:val="18"/>
                                <w:szCs w:val="18"/>
                              </w:rPr>
                              <w:t>m</w:t>
                            </w:r>
                            <w:r>
                              <w:rPr>
                                <w:rFonts w:ascii="Calibri" w:hAnsi="Calibri" w:cs="Calibri"/>
                                <w:sz w:val="18"/>
                                <w:szCs w:val="18"/>
                              </w:rPr>
                              <w:t>illion</w:t>
                            </w:r>
                            <w:r w:rsidRPr="00237A5D">
                              <w:rPr>
                                <w:rFonts w:ascii="Calibri" w:hAnsi="Calibri" w:cs="Calibri"/>
                                <w:sz w:val="18"/>
                                <w:szCs w:val="18"/>
                              </w:rPr>
                              <w:t xml:space="preserve"> </w:t>
                            </w:r>
                            <w:r>
                              <w:rPr>
                                <w:rFonts w:ascii="Calibri" w:hAnsi="Calibri" w:cs="Calibri"/>
                                <w:sz w:val="18"/>
                                <w:szCs w:val="18"/>
                              </w:rPr>
                              <w:t xml:space="preserve">improvement </w:t>
                            </w:r>
                            <w:r w:rsidRPr="00237A5D">
                              <w:rPr>
                                <w:rFonts w:ascii="Calibri" w:hAnsi="Calibri" w:cs="Calibri"/>
                                <w:sz w:val="18"/>
                                <w:szCs w:val="18"/>
                              </w:rPr>
                              <w:t>project with 60% of monetised benefits relating to safety and 40% of monetised benefits relating to access would generate $600,000 investment towards safety outcomes and $400,000 investment towards access outcomes.</w:t>
                            </w:r>
                            <w:r>
                              <w:rPr>
                                <w:rFonts w:ascii="Calibri" w:hAnsi="Calibri" w:cs="Calibri"/>
                                <w:sz w:val="18"/>
                                <w:szCs w:val="18"/>
                              </w:rPr>
                              <w:t xml:space="preserve"> For projects with no monetised benefits such as maintenance activities, calculations are dependent on </w:t>
                            </w:r>
                            <w:r w:rsidRPr="00237A5D">
                              <w:rPr>
                                <w:rFonts w:ascii="Calibri" w:hAnsi="Calibri" w:cs="Calibri"/>
                                <w:sz w:val="18"/>
                                <w:szCs w:val="18"/>
                              </w:rPr>
                              <w:t>the activity class, work category and primary benefit</w:t>
                            </w:r>
                            <w:r>
                              <w:rPr>
                                <w:rFonts w:ascii="Calibri" w:hAnsi="Calibri" w:cs="Calibri"/>
                                <w:sz w:val="18"/>
                                <w:szCs w:val="18"/>
                              </w:rPr>
                              <w:t>s identified</w:t>
                            </w:r>
                            <w:r w:rsidRPr="00237A5D">
                              <w:rPr>
                                <w:rFonts w:ascii="Calibri" w:hAnsi="Calibri" w:cs="Calibri"/>
                                <w:sz w:val="18"/>
                                <w:szCs w:val="18"/>
                              </w:rPr>
                              <w:t>.</w:t>
                            </w:r>
                            <w:r>
                              <w:rPr>
                                <w:rFonts w:ascii="Calibri" w:hAnsi="Calibri" w:cs="Calibri"/>
                                <w:sz w:val="18"/>
                                <w:szCs w:val="18"/>
                              </w:rPr>
                              <w:t xml:space="preserve"> </w:t>
                            </w:r>
                            <w:r>
                              <w:rPr>
                                <w:rFonts w:ascii="Calibri" w:hAnsi="Calibri" w:cs="Calibri"/>
                                <w:bCs/>
                                <w:sz w:val="18"/>
                                <w:szCs w:val="18"/>
                              </w:rPr>
                              <w:t xml:space="preserve"> For example, activities under the sealed pavement maintenance work category generate investment outcomes of </w:t>
                            </w:r>
                            <w:r w:rsidRPr="00237A5D">
                              <w:rPr>
                                <w:rFonts w:ascii="Calibri" w:hAnsi="Calibri" w:cs="Calibri"/>
                                <w:bCs/>
                                <w:sz w:val="18"/>
                                <w:szCs w:val="18"/>
                              </w:rPr>
                              <w:t xml:space="preserve">20% </w:t>
                            </w:r>
                            <w:r>
                              <w:rPr>
                                <w:rFonts w:ascii="Calibri" w:hAnsi="Calibri" w:cs="Calibri"/>
                                <w:bCs/>
                                <w:sz w:val="18"/>
                                <w:szCs w:val="18"/>
                              </w:rPr>
                              <w:t xml:space="preserve">for </w:t>
                            </w:r>
                            <w:r w:rsidRPr="00237A5D">
                              <w:rPr>
                                <w:rFonts w:ascii="Calibri" w:hAnsi="Calibri" w:cs="Calibri"/>
                                <w:bCs/>
                                <w:sz w:val="18"/>
                                <w:szCs w:val="18"/>
                              </w:rPr>
                              <w:t xml:space="preserve">safety, 60% </w:t>
                            </w:r>
                            <w:r>
                              <w:rPr>
                                <w:rFonts w:ascii="Calibri" w:hAnsi="Calibri" w:cs="Calibri"/>
                                <w:bCs/>
                                <w:sz w:val="18"/>
                                <w:szCs w:val="18"/>
                              </w:rPr>
                              <w:t xml:space="preserve">for </w:t>
                            </w:r>
                            <w:r w:rsidRPr="00237A5D">
                              <w:rPr>
                                <w:rFonts w:ascii="Calibri" w:hAnsi="Calibri" w:cs="Calibri"/>
                                <w:bCs/>
                                <w:sz w:val="18"/>
                                <w:szCs w:val="18"/>
                              </w:rPr>
                              <w:t xml:space="preserve">access-access, 10% </w:t>
                            </w:r>
                            <w:r>
                              <w:rPr>
                                <w:rFonts w:ascii="Calibri" w:hAnsi="Calibri" w:cs="Calibri"/>
                                <w:bCs/>
                                <w:sz w:val="18"/>
                                <w:szCs w:val="18"/>
                              </w:rPr>
                              <w:t xml:space="preserve">for </w:t>
                            </w:r>
                            <w:r w:rsidRPr="00237A5D">
                              <w:rPr>
                                <w:rFonts w:ascii="Calibri" w:hAnsi="Calibri" w:cs="Calibri"/>
                                <w:bCs/>
                                <w:sz w:val="18"/>
                                <w:szCs w:val="18"/>
                              </w:rPr>
                              <w:t>access-choice and 10% environment</w:t>
                            </w:r>
                            <w:r>
                              <w:rPr>
                                <w:rFonts w:ascii="Calibri" w:hAnsi="Calibri" w:cs="Calibri"/>
                                <w:bCs/>
                                <w:sz w:val="18"/>
                                <w:szCs w:val="18"/>
                              </w:rPr>
                              <w:t>. This split reflects the purpose of all activities placed under this work category and is the basis for estimating the value of investment outcomes of such activities</w:t>
                            </w:r>
                          </w:p>
                        </w:txbxContent>
                      </wps:txbx>
                      <wps:bodyPr rot="0" vert="horz" wrap="square" lIns="91440" tIns="45720" rIns="91440" bIns="45720" anchor="t" anchorCtr="0">
                        <a:noAutofit/>
                      </wps:bodyPr>
                    </wps:wsp>
                  </a:graphicData>
                </a:graphic>
              </wp:inline>
            </w:drawing>
          </mc:Choice>
          <mc:Fallback>
            <w:pict>
              <v:shape w14:anchorId="374DCB5A" id="_x0000_s1032" type="#_x0000_t202" style="width:522.55pt;height:13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" fillcolor="#cfcdcd [2894]" strokecolor="black [3213]">
                <v:textbox>
                  <w:txbxContent>
                    <w:p w14:paraId="05118CC2" w14:textId="5770A32F" w:rsidR="00BC0FB3" w:rsidRDefault="00BC0FB3" w:rsidP="00C234F0">
                      <w:pPr>
                        <w:pStyle w:val="BodyText"/>
                        <w:spacing w:before="120" w:after="120"/>
                        <w:ind w:right="-28"/>
                        <w:rPr>
                          <w:rFonts w:asciiTheme="minorHAnsi" w:hAnsiTheme="minorHAnsi" w:cstheme="minorHAnsi"/>
                          <w:bCs/>
                          <w:sz w:val="18"/>
                          <w:szCs w:val="18"/>
                        </w:rPr>
                      </w:pPr>
                      <w:r w:rsidRPr="0085741E">
                        <w:rPr>
                          <w:rFonts w:asciiTheme="minorHAnsi" w:hAnsiTheme="minorHAnsi" w:cstheme="minorHAnsi"/>
                          <w:i/>
                          <w:sz w:val="18"/>
                          <w:szCs w:val="18"/>
                        </w:rPr>
                        <w:t>Data source:</w:t>
                      </w:r>
                      <w:r w:rsidRPr="0085741E">
                        <w:rPr>
                          <w:rFonts w:asciiTheme="minorHAnsi" w:hAnsiTheme="minorHAnsi" w:cstheme="minorHAnsi"/>
                          <w:sz w:val="18"/>
                          <w:szCs w:val="18"/>
                        </w:rPr>
                        <w:t xml:space="preserve"> Waka Kotahi. The figures show investment levels from the National Land Transport Fund, local share and the Crown, and excludes  investment from the Provincial Growth Fund, SuperGold Card funding and also investment in the Investment management activity class. </w:t>
                      </w:r>
                    </w:p>
                    <w:p w14:paraId="50FC9060" w14:textId="0EEB7D15" w:rsidR="00BC0FB3" w:rsidRPr="0094749B" w:rsidRDefault="00BC0FB3" w:rsidP="0022519E">
                      <w:pPr>
                        <w:spacing w:before="120" w:after="120"/>
                        <w:rPr>
                          <w:rFonts w:asciiTheme="minorHAnsi" w:hAnsiTheme="minorHAnsi" w:cstheme="minorHAnsi"/>
                          <w:sz w:val="16"/>
                          <w:szCs w:val="16"/>
                        </w:rPr>
                      </w:pPr>
                      <w:r>
                        <w:rPr>
                          <w:rFonts w:ascii="Calibri" w:hAnsi="Calibri" w:cs="Calibri"/>
                          <w:sz w:val="18"/>
                          <w:szCs w:val="18"/>
                        </w:rPr>
                        <w:t>I</w:t>
                      </w:r>
                      <w:r w:rsidRPr="00237A5D">
                        <w:rPr>
                          <w:rFonts w:ascii="Calibri" w:hAnsi="Calibri" w:cs="Calibri"/>
                          <w:sz w:val="18"/>
                          <w:szCs w:val="18"/>
                        </w:rPr>
                        <w:t xml:space="preserve">nvestment in outcomes is </w:t>
                      </w:r>
                      <w:r>
                        <w:rPr>
                          <w:rFonts w:ascii="Calibri" w:hAnsi="Calibri" w:cs="Calibri"/>
                          <w:sz w:val="18"/>
                          <w:szCs w:val="18"/>
                        </w:rPr>
                        <w:t xml:space="preserve">calculated using monetised benefits provided in Transport Investment Online. For example, a </w:t>
                      </w:r>
                      <w:r w:rsidRPr="00237A5D">
                        <w:rPr>
                          <w:rFonts w:ascii="Calibri" w:hAnsi="Calibri" w:cs="Calibri"/>
                          <w:sz w:val="18"/>
                          <w:szCs w:val="18"/>
                        </w:rPr>
                        <w:t>$1</w:t>
                      </w:r>
                      <w:r>
                        <w:rPr>
                          <w:rFonts w:ascii="Calibri" w:hAnsi="Calibri" w:cs="Calibri"/>
                          <w:sz w:val="18"/>
                          <w:szCs w:val="18"/>
                        </w:rPr>
                        <w:t xml:space="preserve"> </w:t>
                      </w:r>
                      <w:r w:rsidRPr="00237A5D">
                        <w:rPr>
                          <w:rFonts w:ascii="Calibri" w:hAnsi="Calibri" w:cs="Calibri"/>
                          <w:sz w:val="18"/>
                          <w:szCs w:val="18"/>
                        </w:rPr>
                        <w:t>m</w:t>
                      </w:r>
                      <w:r>
                        <w:rPr>
                          <w:rFonts w:ascii="Calibri" w:hAnsi="Calibri" w:cs="Calibri"/>
                          <w:sz w:val="18"/>
                          <w:szCs w:val="18"/>
                        </w:rPr>
                        <w:t>illion</w:t>
                      </w:r>
                      <w:r w:rsidRPr="00237A5D">
                        <w:rPr>
                          <w:rFonts w:ascii="Calibri" w:hAnsi="Calibri" w:cs="Calibri"/>
                          <w:sz w:val="18"/>
                          <w:szCs w:val="18"/>
                        </w:rPr>
                        <w:t xml:space="preserve"> </w:t>
                      </w:r>
                      <w:r>
                        <w:rPr>
                          <w:rFonts w:ascii="Calibri" w:hAnsi="Calibri" w:cs="Calibri"/>
                          <w:sz w:val="18"/>
                          <w:szCs w:val="18"/>
                        </w:rPr>
                        <w:t xml:space="preserve">improvement </w:t>
                      </w:r>
                      <w:r w:rsidRPr="00237A5D">
                        <w:rPr>
                          <w:rFonts w:ascii="Calibri" w:hAnsi="Calibri" w:cs="Calibri"/>
                          <w:sz w:val="18"/>
                          <w:szCs w:val="18"/>
                        </w:rPr>
                        <w:t>project with 60% of monetised benefits relating to safety and 40% of monetised benefits relating to access would generate $600,000 investment towards safety outcomes and $400,000 investment towards access outcomes.</w:t>
                      </w:r>
                      <w:r>
                        <w:rPr>
                          <w:rFonts w:ascii="Calibri" w:hAnsi="Calibri" w:cs="Calibri"/>
                          <w:sz w:val="18"/>
                          <w:szCs w:val="18"/>
                        </w:rPr>
                        <w:t xml:space="preserve"> For projects with no monetised benefits such as maintenance activities, calculations are dependent on </w:t>
                      </w:r>
                      <w:r w:rsidRPr="00237A5D">
                        <w:rPr>
                          <w:rFonts w:ascii="Calibri" w:hAnsi="Calibri" w:cs="Calibri"/>
                          <w:sz w:val="18"/>
                          <w:szCs w:val="18"/>
                        </w:rPr>
                        <w:t>the activity class, work category and primary benefit</w:t>
                      </w:r>
                      <w:r>
                        <w:rPr>
                          <w:rFonts w:ascii="Calibri" w:hAnsi="Calibri" w:cs="Calibri"/>
                          <w:sz w:val="18"/>
                          <w:szCs w:val="18"/>
                        </w:rPr>
                        <w:t>s identified</w:t>
                      </w:r>
                      <w:r w:rsidRPr="00237A5D">
                        <w:rPr>
                          <w:rFonts w:ascii="Calibri" w:hAnsi="Calibri" w:cs="Calibri"/>
                          <w:sz w:val="18"/>
                          <w:szCs w:val="18"/>
                        </w:rPr>
                        <w:t>.</w:t>
                      </w:r>
                      <w:r>
                        <w:rPr>
                          <w:rFonts w:ascii="Calibri" w:hAnsi="Calibri" w:cs="Calibri"/>
                          <w:sz w:val="18"/>
                          <w:szCs w:val="18"/>
                        </w:rPr>
                        <w:t xml:space="preserve"> </w:t>
                      </w:r>
                      <w:r>
                        <w:rPr>
                          <w:rFonts w:ascii="Calibri" w:hAnsi="Calibri" w:cs="Calibri"/>
                          <w:bCs/>
                          <w:sz w:val="18"/>
                          <w:szCs w:val="18"/>
                        </w:rPr>
                        <w:t xml:space="preserve"> For example, activities under the sealed pavement maintenance work category generate investment outcomes of </w:t>
                      </w:r>
                      <w:r w:rsidRPr="00237A5D">
                        <w:rPr>
                          <w:rFonts w:ascii="Calibri" w:hAnsi="Calibri" w:cs="Calibri"/>
                          <w:bCs/>
                          <w:sz w:val="18"/>
                          <w:szCs w:val="18"/>
                        </w:rPr>
                        <w:t xml:space="preserve">20% </w:t>
                      </w:r>
                      <w:r>
                        <w:rPr>
                          <w:rFonts w:ascii="Calibri" w:hAnsi="Calibri" w:cs="Calibri"/>
                          <w:bCs/>
                          <w:sz w:val="18"/>
                          <w:szCs w:val="18"/>
                        </w:rPr>
                        <w:t xml:space="preserve">for </w:t>
                      </w:r>
                      <w:r w:rsidRPr="00237A5D">
                        <w:rPr>
                          <w:rFonts w:ascii="Calibri" w:hAnsi="Calibri" w:cs="Calibri"/>
                          <w:bCs/>
                          <w:sz w:val="18"/>
                          <w:szCs w:val="18"/>
                        </w:rPr>
                        <w:t xml:space="preserve">safety, 60% </w:t>
                      </w:r>
                      <w:r>
                        <w:rPr>
                          <w:rFonts w:ascii="Calibri" w:hAnsi="Calibri" w:cs="Calibri"/>
                          <w:bCs/>
                          <w:sz w:val="18"/>
                          <w:szCs w:val="18"/>
                        </w:rPr>
                        <w:t xml:space="preserve">for </w:t>
                      </w:r>
                      <w:r w:rsidRPr="00237A5D">
                        <w:rPr>
                          <w:rFonts w:ascii="Calibri" w:hAnsi="Calibri" w:cs="Calibri"/>
                          <w:bCs/>
                          <w:sz w:val="18"/>
                          <w:szCs w:val="18"/>
                        </w:rPr>
                        <w:t xml:space="preserve">access-access, 10% </w:t>
                      </w:r>
                      <w:r>
                        <w:rPr>
                          <w:rFonts w:ascii="Calibri" w:hAnsi="Calibri" w:cs="Calibri"/>
                          <w:bCs/>
                          <w:sz w:val="18"/>
                          <w:szCs w:val="18"/>
                        </w:rPr>
                        <w:t xml:space="preserve">for </w:t>
                      </w:r>
                      <w:r w:rsidRPr="00237A5D">
                        <w:rPr>
                          <w:rFonts w:ascii="Calibri" w:hAnsi="Calibri" w:cs="Calibri"/>
                          <w:bCs/>
                          <w:sz w:val="18"/>
                          <w:szCs w:val="18"/>
                        </w:rPr>
                        <w:t>access-choice and 10% environment</w:t>
                      </w:r>
                      <w:r>
                        <w:rPr>
                          <w:rFonts w:ascii="Calibri" w:hAnsi="Calibri" w:cs="Calibri"/>
                          <w:bCs/>
                          <w:sz w:val="18"/>
                          <w:szCs w:val="18"/>
                        </w:rPr>
                        <w:t>. This split reflects the purpose of all activities placed under this work category and is the basis for estimating the value of investment outcomes of such activities</w:t>
                      </w:r>
                    </w:p>
                  </w:txbxContent>
                </v:textbox>
                <w10:anchorlock/>
              </v:shape>
            </w:pict>
          </mc:Fallback>
        </mc:AlternateContent>
      </w:r>
    </w:p>
    <w:p w14:paraId="6631BE10" w14:textId="44952479" w:rsidR="003B42C9" w:rsidRPr="00BA0BD0" w:rsidRDefault="003B42C9" w:rsidP="003B42C9">
      <w:pPr>
        <w:rPr>
          <w:rStyle w:val="Strong"/>
          <w:b w:val="0"/>
          <w:bCs w:val="0"/>
          <w:i/>
          <w:sz w:val="18"/>
          <w:szCs w:val="18"/>
        </w:rPr>
      </w:pPr>
    </w:p>
    <w:p w14:paraId="1D556A5E" w14:textId="4FDE1E8B" w:rsidR="003B42C9" w:rsidRPr="00644568" w:rsidRDefault="003B42C9" w:rsidP="003B42C9">
      <w:pPr>
        <w:keepNext/>
        <w:rPr>
          <w:rStyle w:val="Strong"/>
          <w:rFonts w:asciiTheme="minorHAnsi" w:hAnsiTheme="minorHAnsi" w:cstheme="minorHAnsi"/>
          <w:color w:val="F69E00"/>
          <w:sz w:val="24"/>
        </w:rPr>
      </w:pPr>
      <w:r w:rsidRPr="00644568">
        <w:rPr>
          <w:rStyle w:val="Strong"/>
          <w:rFonts w:asciiTheme="minorHAnsi" w:hAnsiTheme="minorHAnsi" w:cstheme="minorHAnsi"/>
          <w:color w:val="F69E00"/>
          <w:sz w:val="24"/>
        </w:rPr>
        <w:t>Assessments used in investment decisions</w:t>
      </w:r>
    </w:p>
    <w:p w14:paraId="12F6D01D" w14:textId="77777777" w:rsidR="00BE0B38" w:rsidRPr="00644568" w:rsidRDefault="00BE0B38" w:rsidP="00BE0B38">
      <w:pPr>
        <w:keepNext/>
        <w:rPr>
          <w:rStyle w:val="Strong"/>
          <w:b w:val="0"/>
        </w:rPr>
      </w:pPr>
      <w:r w:rsidRPr="00644568">
        <w:rPr>
          <w:rStyle w:val="Strong"/>
          <w:b w:val="0"/>
        </w:rPr>
        <w:t xml:space="preserve">Waka Kotahi assesses and prioritises proposals (from priority order one to priority order eight) based on two factors: </w:t>
      </w:r>
    </w:p>
    <w:p w14:paraId="219AA827" w14:textId="77777777" w:rsidR="00BE0B38" w:rsidRPr="00644568" w:rsidRDefault="00BE0B38" w:rsidP="00BE0B38">
      <w:pPr>
        <w:pStyle w:val="ListParagraph"/>
        <w:numPr>
          <w:ilvl w:val="0"/>
          <w:numId w:val="7"/>
        </w:numPr>
        <w:rPr>
          <w:rStyle w:val="Strong"/>
          <w:b w:val="0"/>
        </w:rPr>
      </w:pPr>
      <w:r w:rsidRPr="00644568">
        <w:rPr>
          <w:rStyle w:val="Strong"/>
          <w:b w:val="0"/>
        </w:rPr>
        <w:t>How closely the proposal’s investment results align with the GPS 2018 priorities, and</w:t>
      </w:r>
    </w:p>
    <w:p w14:paraId="45319BD0" w14:textId="77777777" w:rsidR="00BE0B38" w:rsidRDefault="00BE0B38" w:rsidP="00BE0B38">
      <w:pPr>
        <w:pStyle w:val="ListParagraph"/>
        <w:numPr>
          <w:ilvl w:val="0"/>
          <w:numId w:val="7"/>
        </w:numPr>
        <w:rPr>
          <w:rStyle w:val="Strong"/>
          <w:b w:val="0"/>
        </w:rPr>
      </w:pPr>
      <w:r w:rsidRPr="00644568">
        <w:rPr>
          <w:rStyle w:val="Strong"/>
          <w:b w:val="0"/>
        </w:rPr>
        <w:t>Efficiency, based on cost-benefit appraisal, usually reported as a benefit-cost ratio (BCR)</w:t>
      </w:r>
      <w:r w:rsidRPr="00644568">
        <w:rPr>
          <w:rStyle w:val="FootnoteReference"/>
          <w:b/>
          <w:bCs/>
          <w:color w:val="000000" w:themeColor="text1"/>
        </w:rPr>
        <w:footnoteReference w:id="8"/>
      </w:r>
      <w:r w:rsidRPr="00644568">
        <w:rPr>
          <w:rStyle w:val="Strong"/>
          <w:b w:val="0"/>
        </w:rPr>
        <w:t xml:space="preserve">. </w:t>
      </w:r>
    </w:p>
    <w:p w14:paraId="1B334485" w14:textId="1329E9B6" w:rsidR="00BE0B38" w:rsidRPr="00823575" w:rsidRDefault="00BE0B38" w:rsidP="00BE0B38">
      <w:pPr>
        <w:rPr>
          <w:rStyle w:val="Strong"/>
          <w:b w:val="0"/>
          <w:color w:val="auto"/>
        </w:rPr>
      </w:pPr>
      <w:r w:rsidRPr="00823575">
        <w:rPr>
          <w:shd w:val="clear" w:color="auto" w:fill="FFFFFF"/>
        </w:rPr>
        <w:t>The table below summarises the priority order for proposals based on the scores achieved for results alignment and cost-benefit appraisal</w:t>
      </w:r>
      <w:r w:rsidR="00E16A6D">
        <w:rPr>
          <w:shd w:val="clear" w:color="auto" w:fill="FFFFFF"/>
        </w:rPr>
        <w:t>.</w:t>
      </w:r>
      <w:r w:rsidRPr="00823575">
        <w:rPr>
          <w:shd w:val="clear" w:color="auto" w:fill="FFFFFF"/>
        </w:rPr>
        <w:t xml:space="preserve"> Priority order 1 means the proposal aligns well with GPS priorities and has a very high BCR whereas priority order 8 means low alignment with priorities and/or low BCR. </w:t>
      </w:r>
    </w:p>
    <w:tbl>
      <w:tblPr>
        <w:tblStyle w:val="GridTable4-Accent2"/>
        <w:tblW w:w="9143" w:type="dxa"/>
        <w:tblLook w:val="04A0" w:firstRow="1" w:lastRow="0" w:firstColumn="1" w:lastColumn="0" w:noHBand="0" w:noVBand="1"/>
      </w:tblPr>
      <w:tblGrid>
        <w:gridCol w:w="2586"/>
        <w:gridCol w:w="4063"/>
        <w:gridCol w:w="2494"/>
      </w:tblGrid>
      <w:tr w:rsidR="00BE0B38" w:rsidRPr="00823575" w14:paraId="675F4D8F" w14:textId="77777777" w:rsidTr="00DE51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0" w:type="pct"/>
            <w:shd w:val="clear" w:color="auto" w:fill="F69E00"/>
            <w:hideMark/>
          </w:tcPr>
          <w:p w14:paraId="18D86082" w14:textId="77777777" w:rsidR="00BE0B38" w:rsidRPr="00DE511C" w:rsidRDefault="00BE0B38" w:rsidP="001B6108">
            <w:pPr>
              <w:rPr>
                <w:rFonts w:eastAsia="Times New Roman"/>
                <w:sz w:val="20"/>
                <w:szCs w:val="20"/>
                <w:lang w:eastAsia="en-NZ"/>
              </w:rPr>
            </w:pPr>
            <w:r w:rsidRPr="00DE511C">
              <w:rPr>
                <w:rFonts w:eastAsia="Times New Roman"/>
                <w:bCs w:val="0"/>
                <w:sz w:val="20"/>
                <w:szCs w:val="20"/>
                <w:lang w:eastAsia="en-NZ"/>
              </w:rPr>
              <w:t>Results alignment</w:t>
            </w:r>
          </w:p>
        </w:tc>
        <w:tc>
          <w:tcPr>
            <w:tcW w:w="2200" w:type="pct"/>
            <w:shd w:val="clear" w:color="auto" w:fill="F69E00"/>
            <w:hideMark/>
          </w:tcPr>
          <w:p w14:paraId="3FFB2BED" w14:textId="77777777" w:rsidR="00BE0B38" w:rsidRPr="00DE511C" w:rsidRDefault="00BE0B38" w:rsidP="001B6108">
            <w:pPr>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en-NZ"/>
              </w:rPr>
            </w:pPr>
            <w:r w:rsidRPr="00DE511C">
              <w:rPr>
                <w:rFonts w:eastAsia="Times New Roman"/>
                <w:bCs w:val="0"/>
                <w:sz w:val="20"/>
                <w:szCs w:val="20"/>
                <w:lang w:eastAsia="en-NZ"/>
              </w:rPr>
              <w:t>Cost-benefit appraisal</w:t>
            </w:r>
          </w:p>
        </w:tc>
        <w:tc>
          <w:tcPr>
            <w:tcW w:w="1350" w:type="pct"/>
            <w:shd w:val="clear" w:color="auto" w:fill="F69E00"/>
            <w:hideMark/>
          </w:tcPr>
          <w:p w14:paraId="21D0EEA1" w14:textId="77777777" w:rsidR="00BE0B38" w:rsidRPr="00DE511C" w:rsidRDefault="00BE0B38" w:rsidP="001B6108">
            <w:pPr>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en-NZ"/>
              </w:rPr>
            </w:pPr>
            <w:r w:rsidRPr="00DE511C">
              <w:rPr>
                <w:rFonts w:eastAsia="Times New Roman"/>
                <w:bCs w:val="0"/>
                <w:sz w:val="20"/>
                <w:szCs w:val="20"/>
                <w:lang w:eastAsia="en-NZ"/>
              </w:rPr>
              <w:t>Priority order</w:t>
            </w:r>
          </w:p>
        </w:tc>
      </w:tr>
      <w:tr w:rsidR="00BE0B38" w:rsidRPr="00823575" w14:paraId="7C6A740F" w14:textId="77777777" w:rsidTr="00DE51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0" w:type="pct"/>
            <w:shd w:val="clear" w:color="auto" w:fill="FFD589"/>
            <w:hideMark/>
          </w:tcPr>
          <w:p w14:paraId="4E2F5432" w14:textId="77777777" w:rsidR="00BE0B38" w:rsidRPr="009766A7" w:rsidRDefault="00BE0B38" w:rsidP="001B6108">
            <w:pPr>
              <w:rPr>
                <w:rFonts w:eastAsia="Times New Roman"/>
                <w:b w:val="0"/>
                <w:szCs w:val="20"/>
                <w:lang w:eastAsia="en-NZ"/>
              </w:rPr>
            </w:pPr>
            <w:r w:rsidRPr="009766A7">
              <w:rPr>
                <w:rFonts w:eastAsia="Times New Roman"/>
                <w:b w:val="0"/>
                <w:szCs w:val="20"/>
                <w:lang w:eastAsia="en-NZ"/>
              </w:rPr>
              <w:t>Very high</w:t>
            </w:r>
          </w:p>
        </w:tc>
        <w:tc>
          <w:tcPr>
            <w:tcW w:w="2200" w:type="pct"/>
            <w:shd w:val="clear" w:color="auto" w:fill="FFD589"/>
            <w:hideMark/>
          </w:tcPr>
          <w:p w14:paraId="08BDD590" w14:textId="77777777" w:rsidR="00BE0B38" w:rsidRPr="009766A7" w:rsidRDefault="00BE0B38" w:rsidP="001B6108">
            <w:pPr>
              <w:cnfStyle w:val="000000100000" w:firstRow="0" w:lastRow="0" w:firstColumn="0" w:lastColumn="0" w:oddVBand="0" w:evenVBand="0" w:oddHBand="1" w:evenHBand="0" w:firstRowFirstColumn="0" w:firstRowLastColumn="0" w:lastRowFirstColumn="0" w:lastRowLastColumn="0"/>
              <w:rPr>
                <w:rFonts w:eastAsia="Times New Roman"/>
                <w:szCs w:val="20"/>
                <w:lang w:eastAsia="en-NZ"/>
              </w:rPr>
            </w:pPr>
            <w:r w:rsidRPr="009766A7">
              <w:rPr>
                <w:rFonts w:eastAsia="Times New Roman"/>
                <w:szCs w:val="20"/>
                <w:lang w:eastAsia="en-NZ"/>
              </w:rPr>
              <w:t>L/M/H/VH</w:t>
            </w:r>
          </w:p>
        </w:tc>
        <w:tc>
          <w:tcPr>
            <w:tcW w:w="1350" w:type="pct"/>
            <w:shd w:val="clear" w:color="auto" w:fill="FFD589"/>
            <w:hideMark/>
          </w:tcPr>
          <w:p w14:paraId="75B6AF27" w14:textId="77777777" w:rsidR="00BE0B38" w:rsidRPr="009766A7" w:rsidRDefault="00BE0B38" w:rsidP="001B6108">
            <w:pPr>
              <w:cnfStyle w:val="000000100000" w:firstRow="0" w:lastRow="0" w:firstColumn="0" w:lastColumn="0" w:oddVBand="0" w:evenVBand="0" w:oddHBand="1" w:evenHBand="0" w:firstRowFirstColumn="0" w:firstRowLastColumn="0" w:lastRowFirstColumn="0" w:lastRowLastColumn="0"/>
              <w:rPr>
                <w:rFonts w:eastAsia="Times New Roman"/>
                <w:szCs w:val="20"/>
                <w:lang w:eastAsia="en-NZ"/>
              </w:rPr>
            </w:pPr>
            <w:r w:rsidRPr="009766A7">
              <w:rPr>
                <w:rFonts w:eastAsia="Times New Roman"/>
                <w:szCs w:val="20"/>
                <w:lang w:eastAsia="en-NZ"/>
              </w:rPr>
              <w:t>1</w:t>
            </w:r>
          </w:p>
        </w:tc>
      </w:tr>
      <w:tr w:rsidR="00BE0B38" w:rsidRPr="00823575" w14:paraId="7A3D8126" w14:textId="77777777" w:rsidTr="00DE511C">
        <w:tc>
          <w:tcPr>
            <w:cnfStyle w:val="001000000000" w:firstRow="0" w:lastRow="0" w:firstColumn="1" w:lastColumn="0" w:oddVBand="0" w:evenVBand="0" w:oddHBand="0" w:evenHBand="0" w:firstRowFirstColumn="0" w:firstRowLastColumn="0" w:lastRowFirstColumn="0" w:lastRowLastColumn="0"/>
            <w:tcW w:w="1400" w:type="pct"/>
            <w:shd w:val="clear" w:color="auto" w:fill="FFD589"/>
            <w:hideMark/>
          </w:tcPr>
          <w:p w14:paraId="1AF35E42" w14:textId="77777777" w:rsidR="00BE0B38" w:rsidRPr="009766A7" w:rsidRDefault="00BE0B38" w:rsidP="001B6108">
            <w:pPr>
              <w:rPr>
                <w:rFonts w:eastAsia="Times New Roman"/>
                <w:b w:val="0"/>
                <w:szCs w:val="20"/>
                <w:lang w:eastAsia="en-NZ"/>
              </w:rPr>
            </w:pPr>
            <w:r w:rsidRPr="009766A7">
              <w:rPr>
                <w:rFonts w:eastAsia="Times New Roman"/>
                <w:b w:val="0"/>
                <w:szCs w:val="20"/>
                <w:lang w:eastAsia="en-NZ"/>
              </w:rPr>
              <w:t>L/M/H</w:t>
            </w:r>
          </w:p>
        </w:tc>
        <w:tc>
          <w:tcPr>
            <w:tcW w:w="2200" w:type="pct"/>
            <w:shd w:val="clear" w:color="auto" w:fill="FFD589"/>
            <w:hideMark/>
          </w:tcPr>
          <w:p w14:paraId="0573D8BB" w14:textId="77777777" w:rsidR="00BE0B38" w:rsidRPr="009766A7" w:rsidRDefault="00BE0B38" w:rsidP="001B6108">
            <w:pPr>
              <w:cnfStyle w:val="000000000000" w:firstRow="0" w:lastRow="0" w:firstColumn="0" w:lastColumn="0" w:oddVBand="0" w:evenVBand="0" w:oddHBand="0" w:evenHBand="0" w:firstRowFirstColumn="0" w:firstRowLastColumn="0" w:lastRowFirstColumn="0" w:lastRowLastColumn="0"/>
              <w:rPr>
                <w:rFonts w:eastAsia="Times New Roman"/>
                <w:szCs w:val="20"/>
                <w:lang w:eastAsia="en-NZ"/>
              </w:rPr>
            </w:pPr>
            <w:r w:rsidRPr="009766A7">
              <w:rPr>
                <w:rFonts w:eastAsia="Times New Roman"/>
                <w:szCs w:val="20"/>
                <w:lang w:eastAsia="en-NZ"/>
              </w:rPr>
              <w:t>Very high (BCR 10+); PV EoL*</w:t>
            </w:r>
          </w:p>
        </w:tc>
        <w:tc>
          <w:tcPr>
            <w:tcW w:w="1350" w:type="pct"/>
            <w:shd w:val="clear" w:color="auto" w:fill="FFD589"/>
            <w:hideMark/>
          </w:tcPr>
          <w:p w14:paraId="484E2DBD" w14:textId="77777777" w:rsidR="00BE0B38" w:rsidRPr="009766A7" w:rsidRDefault="00BE0B38" w:rsidP="001B6108">
            <w:pPr>
              <w:cnfStyle w:val="000000000000" w:firstRow="0" w:lastRow="0" w:firstColumn="0" w:lastColumn="0" w:oddVBand="0" w:evenVBand="0" w:oddHBand="0" w:evenHBand="0" w:firstRowFirstColumn="0" w:firstRowLastColumn="0" w:lastRowFirstColumn="0" w:lastRowLastColumn="0"/>
              <w:rPr>
                <w:rFonts w:eastAsia="Times New Roman"/>
                <w:szCs w:val="20"/>
                <w:lang w:eastAsia="en-NZ"/>
              </w:rPr>
            </w:pPr>
            <w:r w:rsidRPr="009766A7">
              <w:rPr>
                <w:rFonts w:eastAsia="Times New Roman"/>
                <w:szCs w:val="20"/>
                <w:lang w:eastAsia="en-NZ"/>
              </w:rPr>
              <w:t>2</w:t>
            </w:r>
          </w:p>
        </w:tc>
      </w:tr>
      <w:tr w:rsidR="00BE0B38" w:rsidRPr="00823575" w14:paraId="1CD400CC" w14:textId="77777777" w:rsidTr="00DE51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0" w:type="pct"/>
            <w:shd w:val="clear" w:color="auto" w:fill="FFD589"/>
            <w:hideMark/>
          </w:tcPr>
          <w:p w14:paraId="249098AD" w14:textId="77777777" w:rsidR="00BE0B38" w:rsidRPr="009766A7" w:rsidRDefault="00BE0B38" w:rsidP="001B6108">
            <w:pPr>
              <w:rPr>
                <w:rFonts w:eastAsia="Times New Roman"/>
                <w:b w:val="0"/>
                <w:szCs w:val="20"/>
                <w:lang w:eastAsia="en-NZ"/>
              </w:rPr>
            </w:pPr>
            <w:r w:rsidRPr="009766A7">
              <w:rPr>
                <w:rFonts w:eastAsia="Times New Roman"/>
                <w:b w:val="0"/>
                <w:szCs w:val="20"/>
                <w:lang w:eastAsia="en-NZ"/>
              </w:rPr>
              <w:t>High</w:t>
            </w:r>
          </w:p>
        </w:tc>
        <w:tc>
          <w:tcPr>
            <w:tcW w:w="2200" w:type="pct"/>
            <w:shd w:val="clear" w:color="auto" w:fill="FFD589"/>
            <w:hideMark/>
          </w:tcPr>
          <w:p w14:paraId="5A3DE0B7" w14:textId="77777777" w:rsidR="00BE0B38" w:rsidRPr="009766A7" w:rsidRDefault="00BE0B38" w:rsidP="001B6108">
            <w:pPr>
              <w:cnfStyle w:val="000000100000" w:firstRow="0" w:lastRow="0" w:firstColumn="0" w:lastColumn="0" w:oddVBand="0" w:evenVBand="0" w:oddHBand="1" w:evenHBand="0" w:firstRowFirstColumn="0" w:firstRowLastColumn="0" w:lastRowFirstColumn="0" w:lastRowLastColumn="0"/>
              <w:rPr>
                <w:rFonts w:eastAsia="Times New Roman"/>
                <w:szCs w:val="20"/>
                <w:lang w:eastAsia="en-NZ"/>
              </w:rPr>
            </w:pPr>
            <w:r w:rsidRPr="009766A7">
              <w:rPr>
                <w:rFonts w:eastAsia="Times New Roman"/>
                <w:szCs w:val="20"/>
                <w:lang w:eastAsia="en-NZ"/>
              </w:rPr>
              <w:t>High (BCR 5-9.9)</w:t>
            </w:r>
          </w:p>
        </w:tc>
        <w:tc>
          <w:tcPr>
            <w:tcW w:w="1350" w:type="pct"/>
            <w:shd w:val="clear" w:color="auto" w:fill="FFD589"/>
            <w:hideMark/>
          </w:tcPr>
          <w:p w14:paraId="12E2AB58" w14:textId="77777777" w:rsidR="00BE0B38" w:rsidRPr="009766A7" w:rsidRDefault="00BE0B38" w:rsidP="001B6108">
            <w:pPr>
              <w:cnfStyle w:val="000000100000" w:firstRow="0" w:lastRow="0" w:firstColumn="0" w:lastColumn="0" w:oddVBand="0" w:evenVBand="0" w:oddHBand="1" w:evenHBand="0" w:firstRowFirstColumn="0" w:firstRowLastColumn="0" w:lastRowFirstColumn="0" w:lastRowLastColumn="0"/>
              <w:rPr>
                <w:rFonts w:eastAsia="Times New Roman"/>
                <w:szCs w:val="20"/>
                <w:lang w:eastAsia="en-NZ"/>
              </w:rPr>
            </w:pPr>
            <w:r w:rsidRPr="009766A7">
              <w:rPr>
                <w:rFonts w:eastAsia="Times New Roman"/>
                <w:szCs w:val="20"/>
                <w:lang w:eastAsia="en-NZ"/>
              </w:rPr>
              <w:t>3</w:t>
            </w:r>
          </w:p>
        </w:tc>
      </w:tr>
      <w:tr w:rsidR="00BE0B38" w:rsidRPr="00823575" w14:paraId="1BD3A9A7" w14:textId="77777777" w:rsidTr="00DE511C">
        <w:tc>
          <w:tcPr>
            <w:cnfStyle w:val="001000000000" w:firstRow="0" w:lastRow="0" w:firstColumn="1" w:lastColumn="0" w:oddVBand="0" w:evenVBand="0" w:oddHBand="0" w:evenHBand="0" w:firstRowFirstColumn="0" w:firstRowLastColumn="0" w:lastRowFirstColumn="0" w:lastRowLastColumn="0"/>
            <w:tcW w:w="1400" w:type="pct"/>
            <w:shd w:val="clear" w:color="auto" w:fill="FFD589"/>
            <w:hideMark/>
          </w:tcPr>
          <w:p w14:paraId="0C2F63EF" w14:textId="77777777" w:rsidR="00BE0B38" w:rsidRPr="009766A7" w:rsidRDefault="00BE0B38" w:rsidP="001B6108">
            <w:pPr>
              <w:rPr>
                <w:rFonts w:eastAsia="Times New Roman"/>
                <w:b w:val="0"/>
                <w:szCs w:val="20"/>
                <w:lang w:eastAsia="en-NZ"/>
              </w:rPr>
            </w:pPr>
            <w:r w:rsidRPr="009766A7">
              <w:rPr>
                <w:rFonts w:eastAsia="Times New Roman"/>
                <w:b w:val="0"/>
                <w:szCs w:val="20"/>
                <w:lang w:eastAsia="en-NZ"/>
              </w:rPr>
              <w:t>High</w:t>
            </w:r>
          </w:p>
        </w:tc>
        <w:tc>
          <w:tcPr>
            <w:tcW w:w="2200" w:type="pct"/>
            <w:shd w:val="clear" w:color="auto" w:fill="FFD589"/>
            <w:hideMark/>
          </w:tcPr>
          <w:p w14:paraId="111988CA" w14:textId="77777777" w:rsidR="00BE0B38" w:rsidRPr="009766A7" w:rsidRDefault="00BE0B38" w:rsidP="001B6108">
            <w:pPr>
              <w:cnfStyle w:val="000000000000" w:firstRow="0" w:lastRow="0" w:firstColumn="0" w:lastColumn="0" w:oddVBand="0" w:evenVBand="0" w:oddHBand="0" w:evenHBand="0" w:firstRowFirstColumn="0" w:firstRowLastColumn="0" w:lastRowFirstColumn="0" w:lastRowLastColumn="0"/>
              <w:rPr>
                <w:rFonts w:eastAsia="Times New Roman"/>
                <w:szCs w:val="20"/>
                <w:lang w:eastAsia="en-NZ"/>
              </w:rPr>
            </w:pPr>
            <w:r w:rsidRPr="009766A7">
              <w:rPr>
                <w:rFonts w:eastAsia="Times New Roman"/>
                <w:szCs w:val="20"/>
                <w:lang w:eastAsia="en-NZ"/>
              </w:rPr>
              <w:t>Medium (BCR 3-4.9)</w:t>
            </w:r>
          </w:p>
        </w:tc>
        <w:tc>
          <w:tcPr>
            <w:tcW w:w="1350" w:type="pct"/>
            <w:shd w:val="clear" w:color="auto" w:fill="FFD589"/>
            <w:hideMark/>
          </w:tcPr>
          <w:p w14:paraId="1BA1735E" w14:textId="77777777" w:rsidR="00BE0B38" w:rsidRPr="009766A7" w:rsidRDefault="00BE0B38" w:rsidP="001B6108">
            <w:pPr>
              <w:cnfStyle w:val="000000000000" w:firstRow="0" w:lastRow="0" w:firstColumn="0" w:lastColumn="0" w:oddVBand="0" w:evenVBand="0" w:oddHBand="0" w:evenHBand="0" w:firstRowFirstColumn="0" w:firstRowLastColumn="0" w:lastRowFirstColumn="0" w:lastRowLastColumn="0"/>
              <w:rPr>
                <w:rFonts w:eastAsia="Times New Roman"/>
                <w:szCs w:val="20"/>
                <w:lang w:eastAsia="en-NZ"/>
              </w:rPr>
            </w:pPr>
            <w:r w:rsidRPr="009766A7">
              <w:rPr>
                <w:rFonts w:eastAsia="Times New Roman"/>
                <w:szCs w:val="20"/>
                <w:lang w:eastAsia="en-NZ"/>
              </w:rPr>
              <w:t>4</w:t>
            </w:r>
          </w:p>
        </w:tc>
      </w:tr>
      <w:tr w:rsidR="00BE0B38" w:rsidRPr="00823575" w14:paraId="0116BE92" w14:textId="77777777" w:rsidTr="00DE51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0" w:type="pct"/>
            <w:shd w:val="clear" w:color="auto" w:fill="FFD589"/>
            <w:hideMark/>
          </w:tcPr>
          <w:p w14:paraId="2220309B" w14:textId="77777777" w:rsidR="00BE0B38" w:rsidRPr="009766A7" w:rsidRDefault="00BE0B38" w:rsidP="001B6108">
            <w:pPr>
              <w:rPr>
                <w:rFonts w:eastAsia="Times New Roman"/>
                <w:b w:val="0"/>
                <w:szCs w:val="20"/>
                <w:lang w:eastAsia="en-NZ"/>
              </w:rPr>
            </w:pPr>
            <w:r w:rsidRPr="009766A7">
              <w:rPr>
                <w:rFonts w:eastAsia="Times New Roman"/>
                <w:b w:val="0"/>
                <w:szCs w:val="20"/>
                <w:lang w:eastAsia="en-NZ"/>
              </w:rPr>
              <w:t>Medium</w:t>
            </w:r>
          </w:p>
        </w:tc>
        <w:tc>
          <w:tcPr>
            <w:tcW w:w="2200" w:type="pct"/>
            <w:shd w:val="clear" w:color="auto" w:fill="FFD589"/>
            <w:hideMark/>
          </w:tcPr>
          <w:p w14:paraId="47F561FB" w14:textId="77777777" w:rsidR="00BE0B38" w:rsidRPr="009766A7" w:rsidRDefault="00BE0B38" w:rsidP="001B6108">
            <w:pPr>
              <w:cnfStyle w:val="000000100000" w:firstRow="0" w:lastRow="0" w:firstColumn="0" w:lastColumn="0" w:oddVBand="0" w:evenVBand="0" w:oddHBand="1" w:evenHBand="0" w:firstRowFirstColumn="0" w:firstRowLastColumn="0" w:lastRowFirstColumn="0" w:lastRowLastColumn="0"/>
              <w:rPr>
                <w:rFonts w:eastAsia="Times New Roman"/>
                <w:szCs w:val="20"/>
                <w:lang w:eastAsia="en-NZ"/>
              </w:rPr>
            </w:pPr>
            <w:r w:rsidRPr="009766A7">
              <w:rPr>
                <w:rFonts w:eastAsia="Times New Roman"/>
                <w:szCs w:val="20"/>
                <w:lang w:eastAsia="en-NZ"/>
              </w:rPr>
              <w:t>High (BCR 5-9.9)</w:t>
            </w:r>
          </w:p>
        </w:tc>
        <w:tc>
          <w:tcPr>
            <w:tcW w:w="1350" w:type="pct"/>
            <w:shd w:val="clear" w:color="auto" w:fill="FFD589"/>
            <w:hideMark/>
          </w:tcPr>
          <w:p w14:paraId="2BBCB273" w14:textId="77777777" w:rsidR="00BE0B38" w:rsidRPr="009766A7" w:rsidRDefault="00BE0B38" w:rsidP="001B6108">
            <w:pPr>
              <w:cnfStyle w:val="000000100000" w:firstRow="0" w:lastRow="0" w:firstColumn="0" w:lastColumn="0" w:oddVBand="0" w:evenVBand="0" w:oddHBand="1" w:evenHBand="0" w:firstRowFirstColumn="0" w:firstRowLastColumn="0" w:lastRowFirstColumn="0" w:lastRowLastColumn="0"/>
              <w:rPr>
                <w:rFonts w:eastAsia="Times New Roman"/>
                <w:szCs w:val="20"/>
                <w:lang w:eastAsia="en-NZ"/>
              </w:rPr>
            </w:pPr>
            <w:r w:rsidRPr="009766A7">
              <w:rPr>
                <w:rFonts w:eastAsia="Times New Roman"/>
                <w:szCs w:val="20"/>
                <w:lang w:eastAsia="en-NZ"/>
              </w:rPr>
              <w:t>4</w:t>
            </w:r>
          </w:p>
        </w:tc>
      </w:tr>
      <w:tr w:rsidR="00BE0B38" w:rsidRPr="00823575" w14:paraId="62AB55BD" w14:textId="77777777" w:rsidTr="00DE511C">
        <w:tc>
          <w:tcPr>
            <w:cnfStyle w:val="001000000000" w:firstRow="0" w:lastRow="0" w:firstColumn="1" w:lastColumn="0" w:oddVBand="0" w:evenVBand="0" w:oddHBand="0" w:evenHBand="0" w:firstRowFirstColumn="0" w:firstRowLastColumn="0" w:lastRowFirstColumn="0" w:lastRowLastColumn="0"/>
            <w:tcW w:w="1400" w:type="pct"/>
            <w:shd w:val="clear" w:color="auto" w:fill="FFD589"/>
            <w:hideMark/>
          </w:tcPr>
          <w:p w14:paraId="6099A3E1" w14:textId="77777777" w:rsidR="00BE0B38" w:rsidRPr="009766A7" w:rsidRDefault="00BE0B38" w:rsidP="001B6108">
            <w:pPr>
              <w:rPr>
                <w:rFonts w:eastAsia="Times New Roman"/>
                <w:b w:val="0"/>
                <w:szCs w:val="20"/>
                <w:lang w:eastAsia="en-NZ"/>
              </w:rPr>
            </w:pPr>
            <w:r w:rsidRPr="009766A7">
              <w:rPr>
                <w:rFonts w:eastAsia="Times New Roman"/>
                <w:b w:val="0"/>
                <w:szCs w:val="20"/>
                <w:lang w:eastAsia="en-NZ"/>
              </w:rPr>
              <w:t>High</w:t>
            </w:r>
          </w:p>
        </w:tc>
        <w:tc>
          <w:tcPr>
            <w:tcW w:w="2200" w:type="pct"/>
            <w:shd w:val="clear" w:color="auto" w:fill="FFD589"/>
            <w:hideMark/>
          </w:tcPr>
          <w:p w14:paraId="0130DB77" w14:textId="77777777" w:rsidR="00BE0B38" w:rsidRPr="009766A7" w:rsidRDefault="00BE0B38" w:rsidP="001B6108">
            <w:pPr>
              <w:cnfStyle w:val="000000000000" w:firstRow="0" w:lastRow="0" w:firstColumn="0" w:lastColumn="0" w:oddVBand="0" w:evenVBand="0" w:oddHBand="0" w:evenHBand="0" w:firstRowFirstColumn="0" w:firstRowLastColumn="0" w:lastRowFirstColumn="0" w:lastRowLastColumn="0"/>
              <w:rPr>
                <w:rFonts w:eastAsia="Times New Roman"/>
                <w:szCs w:val="20"/>
                <w:lang w:eastAsia="en-NZ"/>
              </w:rPr>
            </w:pPr>
            <w:r w:rsidRPr="009766A7">
              <w:rPr>
                <w:rFonts w:eastAsia="Times New Roman"/>
                <w:szCs w:val="20"/>
                <w:lang w:eastAsia="en-NZ"/>
              </w:rPr>
              <w:t>Low (BCR 1-2.9)</w:t>
            </w:r>
          </w:p>
        </w:tc>
        <w:tc>
          <w:tcPr>
            <w:tcW w:w="1350" w:type="pct"/>
            <w:shd w:val="clear" w:color="auto" w:fill="FFD589"/>
            <w:hideMark/>
          </w:tcPr>
          <w:p w14:paraId="4A601250" w14:textId="77777777" w:rsidR="00BE0B38" w:rsidRPr="009766A7" w:rsidRDefault="00BE0B38" w:rsidP="001B6108">
            <w:pPr>
              <w:cnfStyle w:val="000000000000" w:firstRow="0" w:lastRow="0" w:firstColumn="0" w:lastColumn="0" w:oddVBand="0" w:evenVBand="0" w:oddHBand="0" w:evenHBand="0" w:firstRowFirstColumn="0" w:firstRowLastColumn="0" w:lastRowFirstColumn="0" w:lastRowLastColumn="0"/>
              <w:rPr>
                <w:rFonts w:eastAsia="Times New Roman"/>
                <w:szCs w:val="20"/>
                <w:lang w:eastAsia="en-NZ"/>
              </w:rPr>
            </w:pPr>
            <w:r w:rsidRPr="009766A7">
              <w:rPr>
                <w:rFonts w:eastAsia="Times New Roman"/>
                <w:szCs w:val="20"/>
                <w:lang w:eastAsia="en-NZ"/>
              </w:rPr>
              <w:t>5</w:t>
            </w:r>
          </w:p>
        </w:tc>
      </w:tr>
      <w:tr w:rsidR="00BE0B38" w:rsidRPr="00823575" w14:paraId="7799F154" w14:textId="77777777" w:rsidTr="00DE51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0" w:type="pct"/>
            <w:shd w:val="clear" w:color="auto" w:fill="FFD589"/>
            <w:hideMark/>
          </w:tcPr>
          <w:p w14:paraId="62050E52" w14:textId="77777777" w:rsidR="00BE0B38" w:rsidRPr="009766A7" w:rsidRDefault="00BE0B38" w:rsidP="001B6108">
            <w:pPr>
              <w:rPr>
                <w:rFonts w:eastAsia="Times New Roman"/>
                <w:b w:val="0"/>
                <w:szCs w:val="20"/>
                <w:lang w:eastAsia="en-NZ"/>
              </w:rPr>
            </w:pPr>
            <w:r w:rsidRPr="009766A7">
              <w:rPr>
                <w:rFonts w:eastAsia="Times New Roman"/>
                <w:b w:val="0"/>
                <w:szCs w:val="20"/>
                <w:lang w:eastAsia="en-NZ"/>
              </w:rPr>
              <w:t>Medium</w:t>
            </w:r>
          </w:p>
        </w:tc>
        <w:tc>
          <w:tcPr>
            <w:tcW w:w="2200" w:type="pct"/>
            <w:shd w:val="clear" w:color="auto" w:fill="FFD589"/>
            <w:hideMark/>
          </w:tcPr>
          <w:p w14:paraId="770357BF" w14:textId="77777777" w:rsidR="00BE0B38" w:rsidRPr="009766A7" w:rsidRDefault="00BE0B38" w:rsidP="001B6108">
            <w:pPr>
              <w:cnfStyle w:val="000000100000" w:firstRow="0" w:lastRow="0" w:firstColumn="0" w:lastColumn="0" w:oddVBand="0" w:evenVBand="0" w:oddHBand="1" w:evenHBand="0" w:firstRowFirstColumn="0" w:firstRowLastColumn="0" w:lastRowFirstColumn="0" w:lastRowLastColumn="0"/>
              <w:rPr>
                <w:rFonts w:eastAsia="Times New Roman"/>
                <w:szCs w:val="20"/>
                <w:lang w:eastAsia="en-NZ"/>
              </w:rPr>
            </w:pPr>
            <w:r w:rsidRPr="009766A7">
              <w:rPr>
                <w:rFonts w:eastAsia="Times New Roman"/>
                <w:szCs w:val="20"/>
                <w:lang w:eastAsia="en-NZ"/>
              </w:rPr>
              <w:t>Medium (BCR 3-4.9)</w:t>
            </w:r>
          </w:p>
        </w:tc>
        <w:tc>
          <w:tcPr>
            <w:tcW w:w="1350" w:type="pct"/>
            <w:shd w:val="clear" w:color="auto" w:fill="FFD589"/>
            <w:hideMark/>
          </w:tcPr>
          <w:p w14:paraId="564A332C" w14:textId="77777777" w:rsidR="00BE0B38" w:rsidRPr="009766A7" w:rsidRDefault="00BE0B38" w:rsidP="001B6108">
            <w:pPr>
              <w:cnfStyle w:val="000000100000" w:firstRow="0" w:lastRow="0" w:firstColumn="0" w:lastColumn="0" w:oddVBand="0" w:evenVBand="0" w:oddHBand="1" w:evenHBand="0" w:firstRowFirstColumn="0" w:firstRowLastColumn="0" w:lastRowFirstColumn="0" w:lastRowLastColumn="0"/>
              <w:rPr>
                <w:rFonts w:eastAsia="Times New Roman"/>
                <w:szCs w:val="20"/>
                <w:lang w:eastAsia="en-NZ"/>
              </w:rPr>
            </w:pPr>
            <w:r w:rsidRPr="009766A7">
              <w:rPr>
                <w:rFonts w:eastAsia="Times New Roman"/>
                <w:szCs w:val="20"/>
                <w:lang w:eastAsia="en-NZ"/>
              </w:rPr>
              <w:t>5</w:t>
            </w:r>
          </w:p>
        </w:tc>
      </w:tr>
      <w:tr w:rsidR="00BE0B38" w:rsidRPr="00823575" w14:paraId="49BE0AD7" w14:textId="77777777" w:rsidTr="00DE511C">
        <w:tc>
          <w:tcPr>
            <w:cnfStyle w:val="001000000000" w:firstRow="0" w:lastRow="0" w:firstColumn="1" w:lastColumn="0" w:oddVBand="0" w:evenVBand="0" w:oddHBand="0" w:evenHBand="0" w:firstRowFirstColumn="0" w:firstRowLastColumn="0" w:lastRowFirstColumn="0" w:lastRowLastColumn="0"/>
            <w:tcW w:w="1400" w:type="pct"/>
            <w:shd w:val="clear" w:color="auto" w:fill="FFD589"/>
            <w:hideMark/>
          </w:tcPr>
          <w:p w14:paraId="67CC1541" w14:textId="77777777" w:rsidR="00BE0B38" w:rsidRPr="009766A7" w:rsidRDefault="00BE0B38" w:rsidP="001B6108">
            <w:pPr>
              <w:rPr>
                <w:rFonts w:eastAsia="Times New Roman"/>
                <w:b w:val="0"/>
                <w:szCs w:val="20"/>
                <w:lang w:eastAsia="en-NZ"/>
              </w:rPr>
            </w:pPr>
            <w:r w:rsidRPr="009766A7">
              <w:rPr>
                <w:rFonts w:eastAsia="Times New Roman"/>
                <w:b w:val="0"/>
                <w:szCs w:val="20"/>
                <w:lang w:eastAsia="en-NZ"/>
              </w:rPr>
              <w:t>Medium</w:t>
            </w:r>
          </w:p>
        </w:tc>
        <w:tc>
          <w:tcPr>
            <w:tcW w:w="2200" w:type="pct"/>
            <w:shd w:val="clear" w:color="auto" w:fill="FFD589"/>
            <w:hideMark/>
          </w:tcPr>
          <w:p w14:paraId="1B5854A1" w14:textId="77777777" w:rsidR="00BE0B38" w:rsidRPr="009766A7" w:rsidRDefault="00BE0B38" w:rsidP="001B6108">
            <w:pPr>
              <w:cnfStyle w:val="000000000000" w:firstRow="0" w:lastRow="0" w:firstColumn="0" w:lastColumn="0" w:oddVBand="0" w:evenVBand="0" w:oddHBand="0" w:evenHBand="0" w:firstRowFirstColumn="0" w:firstRowLastColumn="0" w:lastRowFirstColumn="0" w:lastRowLastColumn="0"/>
              <w:rPr>
                <w:rFonts w:eastAsia="Times New Roman"/>
                <w:szCs w:val="20"/>
                <w:lang w:eastAsia="en-NZ"/>
              </w:rPr>
            </w:pPr>
            <w:r w:rsidRPr="009766A7">
              <w:rPr>
                <w:rFonts w:eastAsia="Times New Roman"/>
                <w:szCs w:val="20"/>
                <w:lang w:eastAsia="en-NZ"/>
              </w:rPr>
              <w:t>Low (BCR 1-2.9)</w:t>
            </w:r>
          </w:p>
        </w:tc>
        <w:tc>
          <w:tcPr>
            <w:tcW w:w="1350" w:type="pct"/>
            <w:shd w:val="clear" w:color="auto" w:fill="FFD589"/>
            <w:hideMark/>
          </w:tcPr>
          <w:p w14:paraId="26B35B30" w14:textId="77777777" w:rsidR="00BE0B38" w:rsidRPr="009766A7" w:rsidRDefault="00BE0B38" w:rsidP="001B6108">
            <w:pPr>
              <w:cnfStyle w:val="000000000000" w:firstRow="0" w:lastRow="0" w:firstColumn="0" w:lastColumn="0" w:oddVBand="0" w:evenVBand="0" w:oddHBand="0" w:evenHBand="0" w:firstRowFirstColumn="0" w:firstRowLastColumn="0" w:lastRowFirstColumn="0" w:lastRowLastColumn="0"/>
              <w:rPr>
                <w:rFonts w:eastAsia="Times New Roman"/>
                <w:szCs w:val="20"/>
                <w:lang w:eastAsia="en-NZ"/>
              </w:rPr>
            </w:pPr>
            <w:r w:rsidRPr="009766A7">
              <w:rPr>
                <w:rFonts w:eastAsia="Times New Roman"/>
                <w:szCs w:val="20"/>
                <w:lang w:eastAsia="en-NZ"/>
              </w:rPr>
              <w:t>6</w:t>
            </w:r>
          </w:p>
        </w:tc>
      </w:tr>
      <w:tr w:rsidR="00BE0B38" w:rsidRPr="00823575" w14:paraId="100D05A7" w14:textId="77777777" w:rsidTr="00DE51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0" w:type="pct"/>
            <w:shd w:val="clear" w:color="auto" w:fill="FFD589"/>
            <w:hideMark/>
          </w:tcPr>
          <w:p w14:paraId="1AB2C21C" w14:textId="77777777" w:rsidR="00BE0B38" w:rsidRPr="009766A7" w:rsidRDefault="00BE0B38" w:rsidP="001B6108">
            <w:pPr>
              <w:rPr>
                <w:rFonts w:eastAsia="Times New Roman"/>
                <w:b w:val="0"/>
                <w:szCs w:val="20"/>
                <w:lang w:eastAsia="en-NZ"/>
              </w:rPr>
            </w:pPr>
            <w:r w:rsidRPr="009766A7">
              <w:rPr>
                <w:rFonts w:eastAsia="Times New Roman"/>
                <w:b w:val="0"/>
                <w:szCs w:val="20"/>
                <w:lang w:eastAsia="en-NZ"/>
              </w:rPr>
              <w:t>Low</w:t>
            </w:r>
          </w:p>
        </w:tc>
        <w:tc>
          <w:tcPr>
            <w:tcW w:w="2200" w:type="pct"/>
            <w:shd w:val="clear" w:color="auto" w:fill="FFD589"/>
            <w:hideMark/>
          </w:tcPr>
          <w:p w14:paraId="56CD6424" w14:textId="77777777" w:rsidR="00BE0B38" w:rsidRPr="009766A7" w:rsidRDefault="00BE0B38" w:rsidP="001B6108">
            <w:pPr>
              <w:cnfStyle w:val="000000100000" w:firstRow="0" w:lastRow="0" w:firstColumn="0" w:lastColumn="0" w:oddVBand="0" w:evenVBand="0" w:oddHBand="1" w:evenHBand="0" w:firstRowFirstColumn="0" w:firstRowLastColumn="0" w:lastRowFirstColumn="0" w:lastRowLastColumn="0"/>
              <w:rPr>
                <w:rFonts w:eastAsia="Times New Roman"/>
                <w:szCs w:val="20"/>
                <w:lang w:eastAsia="en-NZ"/>
              </w:rPr>
            </w:pPr>
            <w:r w:rsidRPr="009766A7">
              <w:rPr>
                <w:rFonts w:eastAsia="Times New Roman"/>
                <w:szCs w:val="20"/>
                <w:lang w:eastAsia="en-NZ"/>
              </w:rPr>
              <w:t>High (BCR 5-9.9)</w:t>
            </w:r>
          </w:p>
        </w:tc>
        <w:tc>
          <w:tcPr>
            <w:tcW w:w="1350" w:type="pct"/>
            <w:shd w:val="clear" w:color="auto" w:fill="FFD589"/>
            <w:hideMark/>
          </w:tcPr>
          <w:p w14:paraId="2087AD38" w14:textId="77777777" w:rsidR="00BE0B38" w:rsidRPr="009766A7" w:rsidRDefault="00BE0B38" w:rsidP="001B6108">
            <w:pPr>
              <w:cnfStyle w:val="000000100000" w:firstRow="0" w:lastRow="0" w:firstColumn="0" w:lastColumn="0" w:oddVBand="0" w:evenVBand="0" w:oddHBand="1" w:evenHBand="0" w:firstRowFirstColumn="0" w:firstRowLastColumn="0" w:lastRowFirstColumn="0" w:lastRowLastColumn="0"/>
              <w:rPr>
                <w:rFonts w:eastAsia="Times New Roman"/>
                <w:szCs w:val="20"/>
                <w:lang w:eastAsia="en-NZ"/>
              </w:rPr>
            </w:pPr>
            <w:r w:rsidRPr="009766A7">
              <w:rPr>
                <w:rFonts w:eastAsia="Times New Roman"/>
                <w:szCs w:val="20"/>
                <w:lang w:eastAsia="en-NZ"/>
              </w:rPr>
              <w:t>7</w:t>
            </w:r>
          </w:p>
        </w:tc>
      </w:tr>
      <w:tr w:rsidR="00BE0B38" w:rsidRPr="00823575" w14:paraId="55B348B9" w14:textId="77777777" w:rsidTr="00DE511C">
        <w:tc>
          <w:tcPr>
            <w:cnfStyle w:val="001000000000" w:firstRow="0" w:lastRow="0" w:firstColumn="1" w:lastColumn="0" w:oddVBand="0" w:evenVBand="0" w:oddHBand="0" w:evenHBand="0" w:firstRowFirstColumn="0" w:firstRowLastColumn="0" w:lastRowFirstColumn="0" w:lastRowLastColumn="0"/>
            <w:tcW w:w="1400" w:type="pct"/>
            <w:shd w:val="clear" w:color="auto" w:fill="FFD589"/>
            <w:hideMark/>
          </w:tcPr>
          <w:p w14:paraId="5E9E9602" w14:textId="77777777" w:rsidR="00BE0B38" w:rsidRPr="009766A7" w:rsidRDefault="00BE0B38" w:rsidP="001B6108">
            <w:pPr>
              <w:rPr>
                <w:rFonts w:eastAsia="Times New Roman"/>
                <w:b w:val="0"/>
                <w:szCs w:val="20"/>
                <w:lang w:eastAsia="en-NZ"/>
              </w:rPr>
            </w:pPr>
            <w:r w:rsidRPr="009766A7">
              <w:rPr>
                <w:rFonts w:eastAsia="Times New Roman"/>
                <w:b w:val="0"/>
                <w:szCs w:val="20"/>
                <w:lang w:eastAsia="en-NZ"/>
              </w:rPr>
              <w:t>Low</w:t>
            </w:r>
          </w:p>
        </w:tc>
        <w:tc>
          <w:tcPr>
            <w:tcW w:w="2200" w:type="pct"/>
            <w:shd w:val="clear" w:color="auto" w:fill="FFD589"/>
            <w:hideMark/>
          </w:tcPr>
          <w:p w14:paraId="04EDA95D" w14:textId="77777777" w:rsidR="00BE0B38" w:rsidRPr="009766A7" w:rsidRDefault="00BE0B38" w:rsidP="001B6108">
            <w:pPr>
              <w:cnfStyle w:val="000000000000" w:firstRow="0" w:lastRow="0" w:firstColumn="0" w:lastColumn="0" w:oddVBand="0" w:evenVBand="0" w:oddHBand="0" w:evenHBand="0" w:firstRowFirstColumn="0" w:firstRowLastColumn="0" w:lastRowFirstColumn="0" w:lastRowLastColumn="0"/>
              <w:rPr>
                <w:rFonts w:eastAsia="Times New Roman"/>
                <w:szCs w:val="20"/>
                <w:lang w:eastAsia="en-NZ"/>
              </w:rPr>
            </w:pPr>
            <w:r w:rsidRPr="009766A7">
              <w:rPr>
                <w:rFonts w:eastAsia="Times New Roman"/>
                <w:szCs w:val="20"/>
                <w:lang w:eastAsia="en-NZ"/>
              </w:rPr>
              <w:t>Medium (BCR 3-4.9)</w:t>
            </w:r>
          </w:p>
        </w:tc>
        <w:tc>
          <w:tcPr>
            <w:tcW w:w="1350" w:type="pct"/>
            <w:shd w:val="clear" w:color="auto" w:fill="FFD589"/>
            <w:hideMark/>
          </w:tcPr>
          <w:p w14:paraId="2C871813" w14:textId="77777777" w:rsidR="00BE0B38" w:rsidRPr="009766A7" w:rsidRDefault="00BE0B38" w:rsidP="001B6108">
            <w:pPr>
              <w:cnfStyle w:val="000000000000" w:firstRow="0" w:lastRow="0" w:firstColumn="0" w:lastColumn="0" w:oddVBand="0" w:evenVBand="0" w:oddHBand="0" w:evenHBand="0" w:firstRowFirstColumn="0" w:firstRowLastColumn="0" w:lastRowFirstColumn="0" w:lastRowLastColumn="0"/>
              <w:rPr>
                <w:rFonts w:eastAsia="Times New Roman"/>
                <w:szCs w:val="20"/>
                <w:lang w:eastAsia="en-NZ"/>
              </w:rPr>
            </w:pPr>
            <w:r w:rsidRPr="009766A7">
              <w:rPr>
                <w:rFonts w:eastAsia="Times New Roman"/>
                <w:szCs w:val="20"/>
                <w:lang w:eastAsia="en-NZ"/>
              </w:rPr>
              <w:t>8</w:t>
            </w:r>
          </w:p>
        </w:tc>
      </w:tr>
      <w:tr w:rsidR="00BE0B38" w:rsidRPr="00823575" w14:paraId="0D42F44B" w14:textId="77777777" w:rsidTr="00DE51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0" w:type="pct"/>
            <w:shd w:val="clear" w:color="auto" w:fill="FFD589"/>
            <w:hideMark/>
          </w:tcPr>
          <w:p w14:paraId="59F9C768" w14:textId="77777777" w:rsidR="00BE0B38" w:rsidRPr="009766A7" w:rsidRDefault="00BE0B38" w:rsidP="001B6108">
            <w:pPr>
              <w:rPr>
                <w:rFonts w:eastAsia="Times New Roman"/>
                <w:b w:val="0"/>
                <w:szCs w:val="20"/>
                <w:lang w:eastAsia="en-NZ"/>
              </w:rPr>
            </w:pPr>
            <w:r w:rsidRPr="009766A7">
              <w:rPr>
                <w:rFonts w:eastAsia="Times New Roman"/>
                <w:b w:val="0"/>
                <w:szCs w:val="20"/>
                <w:lang w:eastAsia="en-NZ"/>
              </w:rPr>
              <w:t>Low</w:t>
            </w:r>
          </w:p>
        </w:tc>
        <w:tc>
          <w:tcPr>
            <w:tcW w:w="2200" w:type="pct"/>
            <w:shd w:val="clear" w:color="auto" w:fill="FFD589"/>
            <w:hideMark/>
          </w:tcPr>
          <w:p w14:paraId="5E63D7B1" w14:textId="77777777" w:rsidR="00BE0B38" w:rsidRPr="009766A7" w:rsidRDefault="00BE0B38" w:rsidP="001B6108">
            <w:pPr>
              <w:cnfStyle w:val="000000100000" w:firstRow="0" w:lastRow="0" w:firstColumn="0" w:lastColumn="0" w:oddVBand="0" w:evenVBand="0" w:oddHBand="1" w:evenHBand="0" w:firstRowFirstColumn="0" w:firstRowLastColumn="0" w:lastRowFirstColumn="0" w:lastRowLastColumn="0"/>
              <w:rPr>
                <w:rFonts w:eastAsia="Times New Roman"/>
                <w:szCs w:val="20"/>
                <w:lang w:eastAsia="en-NZ"/>
              </w:rPr>
            </w:pPr>
            <w:r w:rsidRPr="009766A7">
              <w:rPr>
                <w:rFonts w:eastAsia="Times New Roman"/>
                <w:szCs w:val="20"/>
                <w:lang w:eastAsia="en-NZ"/>
              </w:rPr>
              <w:t>Low (BCR 1-2.9)</w:t>
            </w:r>
          </w:p>
        </w:tc>
        <w:tc>
          <w:tcPr>
            <w:tcW w:w="1350" w:type="pct"/>
            <w:shd w:val="clear" w:color="auto" w:fill="FFD589"/>
            <w:hideMark/>
          </w:tcPr>
          <w:p w14:paraId="37568542" w14:textId="77777777" w:rsidR="00BE0B38" w:rsidRPr="009766A7" w:rsidRDefault="00BE0B38" w:rsidP="001B6108">
            <w:pPr>
              <w:cnfStyle w:val="000000100000" w:firstRow="0" w:lastRow="0" w:firstColumn="0" w:lastColumn="0" w:oddVBand="0" w:evenVBand="0" w:oddHBand="1" w:evenHBand="0" w:firstRowFirstColumn="0" w:firstRowLastColumn="0" w:lastRowFirstColumn="0" w:lastRowLastColumn="0"/>
              <w:rPr>
                <w:rFonts w:eastAsia="Times New Roman"/>
                <w:szCs w:val="20"/>
                <w:lang w:eastAsia="en-NZ"/>
              </w:rPr>
            </w:pPr>
            <w:r w:rsidRPr="009766A7">
              <w:rPr>
                <w:rFonts w:eastAsia="Times New Roman"/>
                <w:szCs w:val="20"/>
                <w:lang w:eastAsia="en-NZ"/>
              </w:rPr>
              <w:t>Exclude </w:t>
            </w:r>
          </w:p>
        </w:tc>
      </w:tr>
    </w:tbl>
    <w:p w14:paraId="5CA2A761" w14:textId="77777777" w:rsidR="00BE0B38" w:rsidRPr="00823575" w:rsidRDefault="00BE0B38" w:rsidP="00BE0B38">
      <w:pPr>
        <w:rPr>
          <w:rStyle w:val="Strong"/>
        </w:rPr>
      </w:pPr>
    </w:p>
    <w:p w14:paraId="423777B7" w14:textId="1127FD76" w:rsidR="003B42C9" w:rsidRPr="00644568" w:rsidRDefault="00E16A6D" w:rsidP="003B42C9">
      <w:pPr>
        <w:rPr>
          <w:rStyle w:val="Strong"/>
          <w:b w:val="0"/>
        </w:rPr>
      </w:pPr>
      <w:r w:rsidRPr="00E16A6D">
        <w:rPr>
          <w:rStyle w:val="Strong"/>
          <w:b w:val="0"/>
        </w:rPr>
        <w:t xml:space="preserve">The table below outlines the amount of approved funding (and number of proposals/assessments contributing </w:t>
      </w:r>
      <w:r w:rsidR="003B42C9" w:rsidRPr="00644568">
        <w:rPr>
          <w:rStyle w:val="Strong"/>
          <w:b w:val="0"/>
        </w:rPr>
        <w:t>to this) for 2019/20 by both priority order and activity class</w:t>
      </w:r>
      <w:r w:rsidR="003B42C9" w:rsidRPr="00644568">
        <w:rPr>
          <w:rStyle w:val="FootnoteReference"/>
          <w:b/>
          <w:bCs/>
          <w:color w:val="000000" w:themeColor="text1"/>
        </w:rPr>
        <w:footnoteReference w:id="9"/>
      </w:r>
      <w:r w:rsidR="003B42C9" w:rsidRPr="00644568">
        <w:rPr>
          <w:rStyle w:val="Strong"/>
          <w:b w:val="0"/>
        </w:rPr>
        <w:t xml:space="preserve">. </w:t>
      </w:r>
    </w:p>
    <w:tbl>
      <w:tblPr>
        <w:tblStyle w:val="GridTable4-Accent1"/>
        <w:tblW w:w="5000" w:type="pct"/>
        <w:tblLook w:val="04A0" w:firstRow="1" w:lastRow="0" w:firstColumn="1" w:lastColumn="0" w:noHBand="0" w:noVBand="1"/>
      </w:tblPr>
      <w:tblGrid>
        <w:gridCol w:w="1268"/>
        <w:gridCol w:w="2296"/>
        <w:gridCol w:w="2298"/>
        <w:gridCol w:w="2296"/>
        <w:gridCol w:w="2298"/>
      </w:tblGrid>
      <w:tr w:rsidR="003B42C9" w:rsidRPr="009766A7" w14:paraId="578F40CB" w14:textId="77777777" w:rsidTr="003B42C9">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606" w:type="pct"/>
            <w:shd w:val="clear" w:color="auto" w:fill="F69E00"/>
          </w:tcPr>
          <w:p w14:paraId="64F88EA8" w14:textId="77777777" w:rsidR="003B42C9" w:rsidRPr="009766A7" w:rsidRDefault="003B42C9" w:rsidP="003B42C9">
            <w:pPr>
              <w:keepNext/>
              <w:jc w:val="center"/>
              <w:rPr>
                <w:rFonts w:asciiTheme="minorHAnsi" w:hAnsiTheme="minorHAnsi" w:cstheme="minorHAnsi"/>
              </w:rPr>
            </w:pPr>
          </w:p>
        </w:tc>
        <w:tc>
          <w:tcPr>
            <w:tcW w:w="4394" w:type="pct"/>
            <w:gridSpan w:val="4"/>
            <w:tcBorders>
              <w:bottom w:val="single" w:sz="4" w:space="0" w:color="auto"/>
            </w:tcBorders>
            <w:shd w:val="clear" w:color="auto" w:fill="F69E00"/>
          </w:tcPr>
          <w:p w14:paraId="2E85A171" w14:textId="16CD203D" w:rsidR="003B42C9" w:rsidRPr="009766A7" w:rsidRDefault="003B42C9" w:rsidP="008C6117">
            <w:pPr>
              <w:keepN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9766A7">
              <w:rPr>
                <w:rFonts w:asciiTheme="minorHAnsi" w:hAnsiTheme="minorHAnsi" w:cstheme="minorHAnsi"/>
              </w:rPr>
              <w:t xml:space="preserve">Approved </w:t>
            </w:r>
            <w:r w:rsidR="008C6117" w:rsidRPr="009766A7">
              <w:rPr>
                <w:rFonts w:asciiTheme="minorHAnsi" w:hAnsiTheme="minorHAnsi" w:cstheme="minorHAnsi"/>
              </w:rPr>
              <w:t>2018/19</w:t>
            </w:r>
            <w:r w:rsidRPr="009766A7">
              <w:rPr>
                <w:rFonts w:asciiTheme="minorHAnsi" w:hAnsiTheme="minorHAnsi" w:cstheme="minorHAnsi"/>
              </w:rPr>
              <w:t xml:space="preserve"> </w:t>
            </w:r>
            <w:r w:rsidR="00964100">
              <w:rPr>
                <w:rFonts w:asciiTheme="minorHAnsi" w:hAnsiTheme="minorHAnsi" w:cstheme="minorHAnsi"/>
              </w:rPr>
              <w:t xml:space="preserve">-2019/20 </w:t>
            </w:r>
            <w:r w:rsidRPr="009766A7">
              <w:rPr>
                <w:rFonts w:asciiTheme="minorHAnsi" w:hAnsiTheme="minorHAnsi" w:cstheme="minorHAnsi"/>
              </w:rPr>
              <w:t>funding by activity class</w:t>
            </w:r>
          </w:p>
        </w:tc>
      </w:tr>
      <w:tr w:rsidR="003B42C9" w:rsidRPr="009766A7" w14:paraId="6F8B1101" w14:textId="77777777" w:rsidTr="003B42C9">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606" w:type="pct"/>
            <w:shd w:val="clear" w:color="auto" w:fill="FFDD9F"/>
            <w:textDirection w:val="btLr"/>
          </w:tcPr>
          <w:p w14:paraId="2DB5964C" w14:textId="77777777" w:rsidR="003B42C9" w:rsidRPr="009766A7" w:rsidRDefault="003B42C9" w:rsidP="003B42C9">
            <w:pPr>
              <w:keepNext/>
              <w:ind w:left="113" w:right="113"/>
              <w:jc w:val="center"/>
              <w:rPr>
                <w:rFonts w:asciiTheme="minorHAnsi" w:hAnsiTheme="minorHAnsi" w:cstheme="minorHAnsi"/>
              </w:rPr>
            </w:pPr>
          </w:p>
        </w:tc>
        <w:tc>
          <w:tcPr>
            <w:tcW w:w="1098" w:type="pct"/>
            <w:tcBorders>
              <w:top w:val="single" w:sz="4" w:space="0" w:color="auto"/>
            </w:tcBorders>
            <w:shd w:val="clear" w:color="auto" w:fill="FFDD9F"/>
          </w:tcPr>
          <w:p w14:paraId="2A53A053" w14:textId="77777777" w:rsidR="003B42C9" w:rsidRPr="009766A7" w:rsidRDefault="003B42C9" w:rsidP="003B42C9">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9766A7">
              <w:rPr>
                <w:rFonts w:asciiTheme="minorHAnsi" w:hAnsiTheme="minorHAnsi" w:cstheme="minorHAnsi"/>
                <w:b/>
              </w:rPr>
              <w:t>Public transport</w:t>
            </w:r>
          </w:p>
        </w:tc>
        <w:tc>
          <w:tcPr>
            <w:tcW w:w="1099" w:type="pct"/>
            <w:tcBorders>
              <w:top w:val="single" w:sz="4" w:space="0" w:color="auto"/>
            </w:tcBorders>
            <w:shd w:val="clear" w:color="auto" w:fill="FFDD9F"/>
          </w:tcPr>
          <w:p w14:paraId="653A6B43" w14:textId="77777777" w:rsidR="003B42C9" w:rsidRPr="009766A7" w:rsidRDefault="003B42C9" w:rsidP="003B42C9">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9766A7">
              <w:rPr>
                <w:rFonts w:asciiTheme="minorHAnsi" w:hAnsiTheme="minorHAnsi" w:cstheme="minorHAnsi"/>
                <w:b/>
              </w:rPr>
              <w:t>Rapid transit</w:t>
            </w:r>
          </w:p>
        </w:tc>
        <w:tc>
          <w:tcPr>
            <w:tcW w:w="1098" w:type="pct"/>
            <w:tcBorders>
              <w:top w:val="single" w:sz="4" w:space="0" w:color="auto"/>
            </w:tcBorders>
            <w:shd w:val="clear" w:color="auto" w:fill="FFDD9F"/>
          </w:tcPr>
          <w:p w14:paraId="0D31E4C0" w14:textId="77777777" w:rsidR="003B42C9" w:rsidRPr="009766A7" w:rsidRDefault="003B42C9" w:rsidP="003B42C9">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9766A7">
              <w:rPr>
                <w:rFonts w:asciiTheme="minorHAnsi" w:hAnsiTheme="minorHAnsi" w:cstheme="minorHAnsi"/>
                <w:b/>
              </w:rPr>
              <w:t>Walking and cycling improvements</w:t>
            </w:r>
          </w:p>
        </w:tc>
        <w:tc>
          <w:tcPr>
            <w:tcW w:w="1099" w:type="pct"/>
            <w:tcBorders>
              <w:top w:val="single" w:sz="4" w:space="0" w:color="auto"/>
            </w:tcBorders>
            <w:shd w:val="clear" w:color="auto" w:fill="FFDD9F"/>
          </w:tcPr>
          <w:p w14:paraId="4E215372" w14:textId="77777777" w:rsidR="003B42C9" w:rsidRPr="009766A7" w:rsidRDefault="003B42C9" w:rsidP="003B42C9">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9766A7">
              <w:rPr>
                <w:rFonts w:asciiTheme="minorHAnsi" w:hAnsiTheme="minorHAnsi" w:cstheme="minorHAnsi"/>
                <w:b/>
              </w:rPr>
              <w:t>Local road improvements</w:t>
            </w:r>
          </w:p>
        </w:tc>
      </w:tr>
      <w:tr w:rsidR="003B42C9" w:rsidRPr="009766A7" w14:paraId="469579C8" w14:textId="77777777" w:rsidTr="003B42C9">
        <w:trPr>
          <w:trHeight w:val="40"/>
        </w:trPr>
        <w:tc>
          <w:tcPr>
            <w:cnfStyle w:val="001000000000" w:firstRow="0" w:lastRow="0" w:firstColumn="1" w:lastColumn="0" w:oddVBand="0" w:evenVBand="0" w:oddHBand="0" w:evenHBand="0" w:firstRowFirstColumn="0" w:firstRowLastColumn="0" w:lastRowFirstColumn="0" w:lastRowLastColumn="0"/>
            <w:tcW w:w="606" w:type="pct"/>
          </w:tcPr>
          <w:p w14:paraId="45185657" w14:textId="77777777" w:rsidR="003B42C9" w:rsidRPr="009766A7" w:rsidRDefault="003B42C9" w:rsidP="003B42C9">
            <w:pPr>
              <w:keepNext/>
              <w:rPr>
                <w:rFonts w:asciiTheme="minorHAnsi" w:hAnsiTheme="minorHAnsi" w:cstheme="minorHAnsi"/>
                <w:b w:val="0"/>
              </w:rPr>
            </w:pPr>
            <w:r w:rsidRPr="009766A7">
              <w:rPr>
                <w:rFonts w:asciiTheme="minorHAnsi" w:hAnsiTheme="minorHAnsi" w:cstheme="minorHAnsi"/>
                <w:b w:val="0"/>
              </w:rPr>
              <w:t>Priority 1</w:t>
            </w:r>
          </w:p>
        </w:tc>
        <w:tc>
          <w:tcPr>
            <w:tcW w:w="1098" w:type="pct"/>
          </w:tcPr>
          <w:p w14:paraId="51B50E90" w14:textId="77777777" w:rsidR="003B42C9" w:rsidRPr="009766A7" w:rsidRDefault="003B42C9" w:rsidP="008C6D4B">
            <w:pPr>
              <w:keepN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66A7">
              <w:rPr>
                <w:rFonts w:asciiTheme="minorHAnsi" w:hAnsiTheme="minorHAnsi" w:cstheme="minorHAnsi"/>
              </w:rPr>
              <w:t xml:space="preserve">241,759,955 </w:t>
            </w:r>
          </w:p>
        </w:tc>
        <w:tc>
          <w:tcPr>
            <w:tcW w:w="1099" w:type="pct"/>
            <w:vAlign w:val="bottom"/>
          </w:tcPr>
          <w:p w14:paraId="29FC84AD" w14:textId="77777777" w:rsidR="003B42C9" w:rsidRPr="009766A7" w:rsidRDefault="003B42C9" w:rsidP="008C6D4B">
            <w:pPr>
              <w:keepN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66A7">
              <w:rPr>
                <w:rFonts w:asciiTheme="minorHAnsi" w:hAnsiTheme="minorHAnsi" w:cstheme="minorHAnsi"/>
                <w:color w:val="000000"/>
              </w:rPr>
              <w:t xml:space="preserve">2,000,000 </w:t>
            </w:r>
          </w:p>
        </w:tc>
        <w:tc>
          <w:tcPr>
            <w:tcW w:w="1098" w:type="pct"/>
          </w:tcPr>
          <w:p w14:paraId="577ABCEF" w14:textId="77777777" w:rsidR="003B42C9" w:rsidRPr="009766A7" w:rsidRDefault="003B42C9" w:rsidP="008C6D4B">
            <w:pPr>
              <w:keepN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66A7">
              <w:rPr>
                <w:rFonts w:asciiTheme="minorHAnsi" w:hAnsiTheme="minorHAnsi" w:cstheme="minorHAnsi"/>
              </w:rPr>
              <w:t xml:space="preserve">23,616,000 </w:t>
            </w:r>
          </w:p>
        </w:tc>
        <w:tc>
          <w:tcPr>
            <w:tcW w:w="1099" w:type="pct"/>
          </w:tcPr>
          <w:p w14:paraId="1AAEFFBB" w14:textId="0E3D8B4E" w:rsidR="003B42C9" w:rsidRPr="009766A7" w:rsidRDefault="00282AA0" w:rsidP="008C6D4B">
            <w:pPr>
              <w:keepN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66A7">
              <w:rPr>
                <w:rFonts w:asciiTheme="minorHAnsi" w:hAnsiTheme="minorHAnsi" w:cstheme="minorHAnsi"/>
              </w:rPr>
              <w:t>75,650,819</w:t>
            </w:r>
            <w:r w:rsidR="003B42C9" w:rsidRPr="009766A7">
              <w:rPr>
                <w:rFonts w:asciiTheme="minorHAnsi" w:hAnsiTheme="minorHAnsi" w:cstheme="minorHAnsi"/>
              </w:rPr>
              <w:t xml:space="preserve"> </w:t>
            </w:r>
          </w:p>
        </w:tc>
      </w:tr>
      <w:tr w:rsidR="00282AA0" w:rsidRPr="009766A7" w14:paraId="151DEB41" w14:textId="77777777" w:rsidTr="003B42C9">
        <w:trPr>
          <w:cnfStyle w:val="000000100000" w:firstRow="0" w:lastRow="0" w:firstColumn="0" w:lastColumn="0" w:oddVBand="0" w:evenVBand="0" w:oddHBand="1" w:evenHBand="0" w:firstRowFirstColumn="0" w:firstRowLastColumn="0" w:lastRowFirstColumn="0" w:lastRowLastColumn="0"/>
          <w:trHeight w:val="40"/>
        </w:trPr>
        <w:tc>
          <w:tcPr>
            <w:cnfStyle w:val="001000000000" w:firstRow="0" w:lastRow="0" w:firstColumn="1" w:lastColumn="0" w:oddVBand="0" w:evenVBand="0" w:oddHBand="0" w:evenHBand="0" w:firstRowFirstColumn="0" w:firstRowLastColumn="0" w:lastRowFirstColumn="0" w:lastRowLastColumn="0"/>
            <w:tcW w:w="606" w:type="pct"/>
            <w:shd w:val="clear" w:color="auto" w:fill="FFDD9F"/>
          </w:tcPr>
          <w:p w14:paraId="6F6DC71E" w14:textId="77777777" w:rsidR="00282AA0" w:rsidRPr="009766A7" w:rsidRDefault="00282AA0" w:rsidP="00282AA0">
            <w:pPr>
              <w:keepNext/>
              <w:rPr>
                <w:rFonts w:asciiTheme="minorHAnsi" w:hAnsiTheme="minorHAnsi" w:cstheme="minorHAnsi"/>
                <w:b w:val="0"/>
                <w:color w:val="000000"/>
              </w:rPr>
            </w:pPr>
            <w:r w:rsidRPr="009766A7">
              <w:rPr>
                <w:rFonts w:asciiTheme="minorHAnsi" w:hAnsiTheme="minorHAnsi" w:cstheme="minorHAnsi"/>
                <w:b w:val="0"/>
              </w:rPr>
              <w:t>Priority 2</w:t>
            </w:r>
          </w:p>
        </w:tc>
        <w:tc>
          <w:tcPr>
            <w:tcW w:w="1098" w:type="pct"/>
            <w:shd w:val="clear" w:color="auto" w:fill="FFDD9F"/>
          </w:tcPr>
          <w:p w14:paraId="617CC574" w14:textId="77777777" w:rsidR="00282AA0" w:rsidRPr="009766A7" w:rsidRDefault="00282AA0" w:rsidP="008C6D4B">
            <w:pPr>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9766A7">
              <w:rPr>
                <w:rFonts w:asciiTheme="minorHAnsi" w:hAnsiTheme="minorHAnsi" w:cstheme="minorHAnsi"/>
              </w:rPr>
              <w:t xml:space="preserve">4,872,000 </w:t>
            </w:r>
          </w:p>
        </w:tc>
        <w:tc>
          <w:tcPr>
            <w:tcW w:w="1099" w:type="pct"/>
            <w:shd w:val="clear" w:color="auto" w:fill="FFDD9F"/>
            <w:vAlign w:val="bottom"/>
          </w:tcPr>
          <w:p w14:paraId="0AAFE137" w14:textId="77777777" w:rsidR="00282AA0" w:rsidRPr="009766A7" w:rsidRDefault="00282AA0" w:rsidP="008C6D4B">
            <w:pPr>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9766A7">
              <w:rPr>
                <w:rFonts w:asciiTheme="minorHAnsi" w:hAnsiTheme="minorHAnsi" w:cstheme="minorHAnsi"/>
                <w:color w:val="000000"/>
              </w:rPr>
              <w:t xml:space="preserve">0 </w:t>
            </w:r>
          </w:p>
        </w:tc>
        <w:tc>
          <w:tcPr>
            <w:tcW w:w="1098" w:type="pct"/>
            <w:shd w:val="clear" w:color="auto" w:fill="FFDD9F"/>
          </w:tcPr>
          <w:p w14:paraId="185FA7F1" w14:textId="77777777" w:rsidR="00282AA0" w:rsidRPr="009766A7" w:rsidRDefault="00282AA0" w:rsidP="008C6D4B">
            <w:pPr>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9766A7">
              <w:rPr>
                <w:rFonts w:asciiTheme="minorHAnsi" w:hAnsiTheme="minorHAnsi" w:cstheme="minorHAnsi"/>
              </w:rPr>
              <w:t xml:space="preserve">0 </w:t>
            </w:r>
          </w:p>
        </w:tc>
        <w:tc>
          <w:tcPr>
            <w:tcW w:w="1099" w:type="pct"/>
            <w:shd w:val="clear" w:color="auto" w:fill="FFDD9F"/>
          </w:tcPr>
          <w:p w14:paraId="28BA7B6E" w14:textId="6E6C08AD" w:rsidR="00282AA0" w:rsidRPr="009766A7" w:rsidRDefault="00282AA0" w:rsidP="008C6D4B">
            <w:pPr>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9766A7">
              <w:rPr>
                <w:rFonts w:asciiTheme="minorHAnsi" w:hAnsiTheme="minorHAnsi" w:cstheme="minorHAnsi"/>
              </w:rPr>
              <w:t xml:space="preserve">62,208,410 </w:t>
            </w:r>
          </w:p>
        </w:tc>
      </w:tr>
      <w:tr w:rsidR="00282AA0" w:rsidRPr="009766A7" w14:paraId="07851B99" w14:textId="77777777" w:rsidTr="003B42C9">
        <w:trPr>
          <w:trHeight w:val="40"/>
        </w:trPr>
        <w:tc>
          <w:tcPr>
            <w:cnfStyle w:val="001000000000" w:firstRow="0" w:lastRow="0" w:firstColumn="1" w:lastColumn="0" w:oddVBand="0" w:evenVBand="0" w:oddHBand="0" w:evenHBand="0" w:firstRowFirstColumn="0" w:firstRowLastColumn="0" w:lastRowFirstColumn="0" w:lastRowLastColumn="0"/>
            <w:tcW w:w="606" w:type="pct"/>
          </w:tcPr>
          <w:p w14:paraId="37D6CA3F" w14:textId="77777777" w:rsidR="00282AA0" w:rsidRPr="009766A7" w:rsidRDefault="00282AA0" w:rsidP="00282AA0">
            <w:pPr>
              <w:keepNext/>
              <w:rPr>
                <w:rFonts w:asciiTheme="minorHAnsi" w:hAnsiTheme="minorHAnsi" w:cstheme="minorHAnsi"/>
                <w:b w:val="0"/>
                <w:color w:val="000000"/>
              </w:rPr>
            </w:pPr>
            <w:r w:rsidRPr="009766A7">
              <w:rPr>
                <w:rFonts w:asciiTheme="minorHAnsi" w:hAnsiTheme="minorHAnsi" w:cstheme="minorHAnsi"/>
                <w:b w:val="0"/>
              </w:rPr>
              <w:t>Priority 3</w:t>
            </w:r>
          </w:p>
        </w:tc>
        <w:tc>
          <w:tcPr>
            <w:tcW w:w="1098" w:type="pct"/>
          </w:tcPr>
          <w:p w14:paraId="46199E1D" w14:textId="77777777" w:rsidR="00282AA0" w:rsidRPr="009766A7" w:rsidRDefault="00282AA0" w:rsidP="008C6D4B">
            <w:pPr>
              <w:keepNext/>
              <w:jc w:val="right"/>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rPr>
            </w:pPr>
            <w:r w:rsidRPr="009766A7">
              <w:rPr>
                <w:rFonts w:asciiTheme="minorHAnsi" w:hAnsiTheme="minorHAnsi" w:cstheme="minorHAnsi"/>
              </w:rPr>
              <w:t xml:space="preserve">108,644,513 </w:t>
            </w:r>
          </w:p>
        </w:tc>
        <w:tc>
          <w:tcPr>
            <w:tcW w:w="1099" w:type="pct"/>
            <w:vAlign w:val="bottom"/>
          </w:tcPr>
          <w:p w14:paraId="5FD3A676" w14:textId="77777777" w:rsidR="00282AA0" w:rsidRPr="009766A7" w:rsidRDefault="00282AA0" w:rsidP="008C6D4B">
            <w:pPr>
              <w:keepNext/>
              <w:jc w:val="right"/>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rPr>
            </w:pPr>
            <w:r w:rsidRPr="009766A7">
              <w:rPr>
                <w:rFonts w:asciiTheme="minorHAnsi" w:hAnsiTheme="minorHAnsi" w:cstheme="minorHAnsi"/>
                <w:color w:val="000000"/>
              </w:rPr>
              <w:t xml:space="preserve">0 </w:t>
            </w:r>
          </w:p>
        </w:tc>
        <w:tc>
          <w:tcPr>
            <w:tcW w:w="1098" w:type="pct"/>
          </w:tcPr>
          <w:p w14:paraId="55A5D43C" w14:textId="77777777" w:rsidR="00282AA0" w:rsidRPr="009766A7" w:rsidRDefault="00282AA0" w:rsidP="008C6D4B">
            <w:pPr>
              <w:keepNext/>
              <w:jc w:val="right"/>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rPr>
            </w:pPr>
            <w:r w:rsidRPr="009766A7">
              <w:rPr>
                <w:rFonts w:asciiTheme="minorHAnsi" w:hAnsiTheme="minorHAnsi" w:cstheme="minorHAnsi"/>
              </w:rPr>
              <w:t xml:space="preserve">21,868,200 </w:t>
            </w:r>
          </w:p>
        </w:tc>
        <w:tc>
          <w:tcPr>
            <w:tcW w:w="1099" w:type="pct"/>
          </w:tcPr>
          <w:p w14:paraId="55CBD3B1" w14:textId="7557EB5F" w:rsidR="00282AA0" w:rsidRPr="009766A7" w:rsidRDefault="00282AA0" w:rsidP="008C6D4B">
            <w:pPr>
              <w:keepNext/>
              <w:jc w:val="right"/>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rPr>
            </w:pPr>
            <w:r w:rsidRPr="009766A7">
              <w:rPr>
                <w:rFonts w:asciiTheme="minorHAnsi" w:hAnsiTheme="minorHAnsi" w:cstheme="minorHAnsi"/>
              </w:rPr>
              <w:t xml:space="preserve">300,372,322 </w:t>
            </w:r>
          </w:p>
        </w:tc>
      </w:tr>
      <w:tr w:rsidR="00282AA0" w:rsidRPr="009766A7" w14:paraId="2472F351" w14:textId="77777777" w:rsidTr="003B42C9">
        <w:trPr>
          <w:cnfStyle w:val="000000100000" w:firstRow="0" w:lastRow="0" w:firstColumn="0" w:lastColumn="0" w:oddVBand="0" w:evenVBand="0" w:oddHBand="1" w:evenHBand="0" w:firstRowFirstColumn="0" w:firstRowLastColumn="0" w:lastRowFirstColumn="0" w:lastRowLastColumn="0"/>
          <w:trHeight w:val="40"/>
        </w:trPr>
        <w:tc>
          <w:tcPr>
            <w:cnfStyle w:val="001000000000" w:firstRow="0" w:lastRow="0" w:firstColumn="1" w:lastColumn="0" w:oddVBand="0" w:evenVBand="0" w:oddHBand="0" w:evenHBand="0" w:firstRowFirstColumn="0" w:firstRowLastColumn="0" w:lastRowFirstColumn="0" w:lastRowLastColumn="0"/>
            <w:tcW w:w="606" w:type="pct"/>
            <w:shd w:val="clear" w:color="auto" w:fill="FFDD9F"/>
          </w:tcPr>
          <w:p w14:paraId="18807E72" w14:textId="77777777" w:rsidR="00282AA0" w:rsidRPr="009766A7" w:rsidRDefault="00282AA0" w:rsidP="00282AA0">
            <w:pPr>
              <w:keepNext/>
              <w:rPr>
                <w:rFonts w:asciiTheme="minorHAnsi" w:hAnsiTheme="minorHAnsi" w:cstheme="minorHAnsi"/>
                <w:b w:val="0"/>
                <w:color w:val="000000"/>
              </w:rPr>
            </w:pPr>
            <w:r w:rsidRPr="009766A7">
              <w:rPr>
                <w:rFonts w:asciiTheme="minorHAnsi" w:hAnsiTheme="minorHAnsi" w:cstheme="minorHAnsi"/>
                <w:b w:val="0"/>
              </w:rPr>
              <w:t>Priority 4</w:t>
            </w:r>
          </w:p>
        </w:tc>
        <w:tc>
          <w:tcPr>
            <w:tcW w:w="1098" w:type="pct"/>
            <w:shd w:val="clear" w:color="auto" w:fill="FFDD9F"/>
          </w:tcPr>
          <w:p w14:paraId="147FA84B" w14:textId="77777777" w:rsidR="00282AA0" w:rsidRPr="009766A7" w:rsidRDefault="00282AA0" w:rsidP="008C6D4B">
            <w:pPr>
              <w:keepNext/>
              <w:jc w:val="right"/>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rPr>
            </w:pPr>
            <w:r w:rsidRPr="009766A7">
              <w:rPr>
                <w:rFonts w:asciiTheme="minorHAnsi" w:hAnsiTheme="minorHAnsi" w:cstheme="minorHAnsi"/>
              </w:rPr>
              <w:t xml:space="preserve">244,083,268 </w:t>
            </w:r>
          </w:p>
        </w:tc>
        <w:tc>
          <w:tcPr>
            <w:tcW w:w="1099" w:type="pct"/>
            <w:shd w:val="clear" w:color="auto" w:fill="FFDD9F"/>
            <w:vAlign w:val="bottom"/>
          </w:tcPr>
          <w:p w14:paraId="006806AA" w14:textId="77777777" w:rsidR="00282AA0" w:rsidRPr="009766A7" w:rsidRDefault="00282AA0" w:rsidP="008C6D4B">
            <w:pPr>
              <w:keepNext/>
              <w:jc w:val="right"/>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rPr>
            </w:pPr>
            <w:r w:rsidRPr="009766A7">
              <w:rPr>
                <w:rFonts w:asciiTheme="minorHAnsi" w:hAnsiTheme="minorHAnsi" w:cstheme="minorHAnsi"/>
                <w:color w:val="000000"/>
              </w:rPr>
              <w:t xml:space="preserve">58,300,000 </w:t>
            </w:r>
          </w:p>
        </w:tc>
        <w:tc>
          <w:tcPr>
            <w:tcW w:w="1098" w:type="pct"/>
            <w:shd w:val="clear" w:color="auto" w:fill="FFDD9F"/>
          </w:tcPr>
          <w:p w14:paraId="31D44AD3" w14:textId="77777777" w:rsidR="00282AA0" w:rsidRPr="009766A7" w:rsidRDefault="00282AA0" w:rsidP="008C6D4B">
            <w:pPr>
              <w:keepNext/>
              <w:jc w:val="right"/>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rPr>
            </w:pPr>
            <w:r w:rsidRPr="009766A7">
              <w:rPr>
                <w:rFonts w:asciiTheme="minorHAnsi" w:hAnsiTheme="minorHAnsi" w:cstheme="minorHAnsi"/>
              </w:rPr>
              <w:t xml:space="preserve">104,511,761 </w:t>
            </w:r>
          </w:p>
        </w:tc>
        <w:tc>
          <w:tcPr>
            <w:tcW w:w="1099" w:type="pct"/>
            <w:shd w:val="clear" w:color="auto" w:fill="FFDD9F"/>
          </w:tcPr>
          <w:p w14:paraId="38475ACB" w14:textId="4D13E8C9" w:rsidR="00282AA0" w:rsidRPr="009766A7" w:rsidRDefault="00282AA0" w:rsidP="008C6D4B">
            <w:pPr>
              <w:keepNext/>
              <w:jc w:val="right"/>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rPr>
            </w:pPr>
            <w:r w:rsidRPr="009766A7">
              <w:rPr>
                <w:rFonts w:asciiTheme="minorHAnsi" w:hAnsiTheme="minorHAnsi" w:cstheme="minorHAnsi"/>
              </w:rPr>
              <w:t xml:space="preserve">162,125,289 </w:t>
            </w:r>
          </w:p>
        </w:tc>
      </w:tr>
      <w:tr w:rsidR="00282AA0" w:rsidRPr="009766A7" w14:paraId="53CCB721" w14:textId="77777777" w:rsidTr="003B42C9">
        <w:trPr>
          <w:trHeight w:val="40"/>
        </w:trPr>
        <w:tc>
          <w:tcPr>
            <w:cnfStyle w:val="001000000000" w:firstRow="0" w:lastRow="0" w:firstColumn="1" w:lastColumn="0" w:oddVBand="0" w:evenVBand="0" w:oddHBand="0" w:evenHBand="0" w:firstRowFirstColumn="0" w:firstRowLastColumn="0" w:lastRowFirstColumn="0" w:lastRowLastColumn="0"/>
            <w:tcW w:w="606" w:type="pct"/>
          </w:tcPr>
          <w:p w14:paraId="68ED2E89" w14:textId="77777777" w:rsidR="00282AA0" w:rsidRPr="009766A7" w:rsidRDefault="00282AA0" w:rsidP="00282AA0">
            <w:pPr>
              <w:keepNext/>
              <w:rPr>
                <w:rFonts w:asciiTheme="minorHAnsi" w:hAnsiTheme="minorHAnsi" w:cstheme="minorHAnsi"/>
                <w:b w:val="0"/>
                <w:color w:val="000000"/>
              </w:rPr>
            </w:pPr>
            <w:r w:rsidRPr="009766A7">
              <w:rPr>
                <w:rFonts w:asciiTheme="minorHAnsi" w:hAnsiTheme="minorHAnsi" w:cstheme="minorHAnsi"/>
                <w:b w:val="0"/>
              </w:rPr>
              <w:t>Priority 5</w:t>
            </w:r>
          </w:p>
        </w:tc>
        <w:tc>
          <w:tcPr>
            <w:tcW w:w="1098" w:type="pct"/>
          </w:tcPr>
          <w:p w14:paraId="6E1F1BE1" w14:textId="77777777" w:rsidR="00282AA0" w:rsidRPr="009766A7" w:rsidRDefault="00282AA0" w:rsidP="008C6D4B">
            <w:pPr>
              <w:keepNext/>
              <w:jc w:val="right"/>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rPr>
            </w:pPr>
            <w:r w:rsidRPr="009766A7">
              <w:rPr>
                <w:rFonts w:asciiTheme="minorHAnsi" w:hAnsiTheme="minorHAnsi" w:cstheme="minorHAnsi"/>
              </w:rPr>
              <w:t xml:space="preserve">171,115,332 </w:t>
            </w:r>
          </w:p>
        </w:tc>
        <w:tc>
          <w:tcPr>
            <w:tcW w:w="1099" w:type="pct"/>
            <w:vAlign w:val="bottom"/>
          </w:tcPr>
          <w:p w14:paraId="3A7D65F9" w14:textId="77777777" w:rsidR="00282AA0" w:rsidRPr="009766A7" w:rsidRDefault="00282AA0" w:rsidP="008C6D4B">
            <w:pPr>
              <w:keepNext/>
              <w:jc w:val="right"/>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rPr>
            </w:pPr>
            <w:r w:rsidRPr="009766A7">
              <w:rPr>
                <w:rFonts w:asciiTheme="minorHAnsi" w:hAnsiTheme="minorHAnsi" w:cstheme="minorHAnsi"/>
                <w:color w:val="000000"/>
              </w:rPr>
              <w:t xml:space="preserve">0 </w:t>
            </w:r>
          </w:p>
        </w:tc>
        <w:tc>
          <w:tcPr>
            <w:tcW w:w="1098" w:type="pct"/>
          </w:tcPr>
          <w:p w14:paraId="77BDD633" w14:textId="77777777" w:rsidR="00282AA0" w:rsidRPr="009766A7" w:rsidRDefault="00282AA0" w:rsidP="008C6D4B">
            <w:pPr>
              <w:keepNext/>
              <w:jc w:val="right"/>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rPr>
            </w:pPr>
            <w:r w:rsidRPr="009766A7">
              <w:rPr>
                <w:rFonts w:asciiTheme="minorHAnsi" w:hAnsiTheme="minorHAnsi" w:cstheme="minorHAnsi"/>
              </w:rPr>
              <w:t xml:space="preserve">159,804,997 </w:t>
            </w:r>
          </w:p>
        </w:tc>
        <w:tc>
          <w:tcPr>
            <w:tcW w:w="1099" w:type="pct"/>
          </w:tcPr>
          <w:p w14:paraId="48CF4D13" w14:textId="228C7FC2" w:rsidR="00282AA0" w:rsidRPr="009766A7" w:rsidRDefault="00282AA0" w:rsidP="008C6D4B">
            <w:pPr>
              <w:keepNext/>
              <w:jc w:val="right"/>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rPr>
            </w:pPr>
            <w:r w:rsidRPr="009766A7">
              <w:rPr>
                <w:rFonts w:asciiTheme="minorHAnsi" w:hAnsiTheme="minorHAnsi" w:cstheme="minorHAnsi"/>
              </w:rPr>
              <w:t xml:space="preserve">341,604,244 </w:t>
            </w:r>
          </w:p>
        </w:tc>
      </w:tr>
      <w:tr w:rsidR="00282AA0" w:rsidRPr="009766A7" w14:paraId="5FAE958E" w14:textId="77777777" w:rsidTr="003B42C9">
        <w:trPr>
          <w:cnfStyle w:val="000000100000" w:firstRow="0" w:lastRow="0" w:firstColumn="0" w:lastColumn="0" w:oddVBand="0" w:evenVBand="0" w:oddHBand="1" w:evenHBand="0" w:firstRowFirstColumn="0" w:firstRowLastColumn="0" w:lastRowFirstColumn="0" w:lastRowLastColumn="0"/>
          <w:trHeight w:val="40"/>
        </w:trPr>
        <w:tc>
          <w:tcPr>
            <w:cnfStyle w:val="001000000000" w:firstRow="0" w:lastRow="0" w:firstColumn="1" w:lastColumn="0" w:oddVBand="0" w:evenVBand="0" w:oddHBand="0" w:evenHBand="0" w:firstRowFirstColumn="0" w:firstRowLastColumn="0" w:lastRowFirstColumn="0" w:lastRowLastColumn="0"/>
            <w:tcW w:w="606" w:type="pct"/>
            <w:shd w:val="clear" w:color="auto" w:fill="FFDD9F"/>
          </w:tcPr>
          <w:p w14:paraId="6F9A5609" w14:textId="77777777" w:rsidR="00282AA0" w:rsidRPr="009766A7" w:rsidRDefault="00282AA0" w:rsidP="00282AA0">
            <w:pPr>
              <w:keepNext/>
              <w:rPr>
                <w:rFonts w:asciiTheme="minorHAnsi" w:hAnsiTheme="minorHAnsi" w:cstheme="minorHAnsi"/>
                <w:b w:val="0"/>
                <w:color w:val="000000"/>
              </w:rPr>
            </w:pPr>
            <w:r w:rsidRPr="009766A7">
              <w:rPr>
                <w:rFonts w:asciiTheme="minorHAnsi" w:hAnsiTheme="minorHAnsi" w:cstheme="minorHAnsi"/>
                <w:b w:val="0"/>
              </w:rPr>
              <w:t>Priority 6</w:t>
            </w:r>
          </w:p>
        </w:tc>
        <w:tc>
          <w:tcPr>
            <w:tcW w:w="1098" w:type="pct"/>
            <w:shd w:val="clear" w:color="auto" w:fill="FFDD9F"/>
          </w:tcPr>
          <w:p w14:paraId="0EE38A70" w14:textId="77777777" w:rsidR="00282AA0" w:rsidRPr="009766A7" w:rsidRDefault="00282AA0" w:rsidP="008C6D4B">
            <w:pPr>
              <w:keepNext/>
              <w:jc w:val="right"/>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rPr>
            </w:pPr>
            <w:r w:rsidRPr="009766A7">
              <w:rPr>
                <w:rFonts w:asciiTheme="minorHAnsi" w:hAnsiTheme="minorHAnsi" w:cstheme="minorHAnsi"/>
              </w:rPr>
              <w:t xml:space="preserve">5,184,068 </w:t>
            </w:r>
          </w:p>
        </w:tc>
        <w:tc>
          <w:tcPr>
            <w:tcW w:w="1099" w:type="pct"/>
            <w:shd w:val="clear" w:color="auto" w:fill="FFDD9F"/>
            <w:vAlign w:val="bottom"/>
          </w:tcPr>
          <w:p w14:paraId="4A42A535" w14:textId="77777777" w:rsidR="00282AA0" w:rsidRPr="009766A7" w:rsidRDefault="00282AA0" w:rsidP="008C6D4B">
            <w:pPr>
              <w:keepNext/>
              <w:jc w:val="right"/>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rPr>
            </w:pPr>
            <w:r w:rsidRPr="009766A7">
              <w:rPr>
                <w:rFonts w:asciiTheme="minorHAnsi" w:hAnsiTheme="minorHAnsi" w:cstheme="minorHAnsi"/>
                <w:color w:val="000000"/>
              </w:rPr>
              <w:t xml:space="preserve">0 </w:t>
            </w:r>
          </w:p>
        </w:tc>
        <w:tc>
          <w:tcPr>
            <w:tcW w:w="1098" w:type="pct"/>
            <w:shd w:val="clear" w:color="auto" w:fill="FFDD9F"/>
          </w:tcPr>
          <w:p w14:paraId="79C8B6C5" w14:textId="77777777" w:rsidR="00282AA0" w:rsidRPr="009766A7" w:rsidRDefault="00282AA0" w:rsidP="008C6D4B">
            <w:pPr>
              <w:keepNext/>
              <w:jc w:val="right"/>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rPr>
            </w:pPr>
            <w:r w:rsidRPr="009766A7">
              <w:rPr>
                <w:rFonts w:asciiTheme="minorHAnsi" w:hAnsiTheme="minorHAnsi" w:cstheme="minorHAnsi"/>
              </w:rPr>
              <w:t xml:space="preserve">307,800 </w:t>
            </w:r>
          </w:p>
        </w:tc>
        <w:tc>
          <w:tcPr>
            <w:tcW w:w="1099" w:type="pct"/>
            <w:shd w:val="clear" w:color="auto" w:fill="FFDD9F"/>
          </w:tcPr>
          <w:p w14:paraId="24189F93" w14:textId="28D0075B" w:rsidR="00282AA0" w:rsidRPr="009766A7" w:rsidRDefault="00282AA0" w:rsidP="008C6D4B">
            <w:pPr>
              <w:keepNext/>
              <w:jc w:val="right"/>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rPr>
            </w:pPr>
            <w:r w:rsidRPr="009766A7">
              <w:rPr>
                <w:rFonts w:asciiTheme="minorHAnsi" w:hAnsiTheme="minorHAnsi" w:cstheme="minorHAnsi"/>
              </w:rPr>
              <w:t xml:space="preserve">3,934,622 </w:t>
            </w:r>
          </w:p>
        </w:tc>
      </w:tr>
      <w:tr w:rsidR="00282AA0" w:rsidRPr="009766A7" w14:paraId="69A65406" w14:textId="77777777" w:rsidTr="003B42C9">
        <w:trPr>
          <w:trHeight w:val="40"/>
        </w:trPr>
        <w:tc>
          <w:tcPr>
            <w:cnfStyle w:val="001000000000" w:firstRow="0" w:lastRow="0" w:firstColumn="1" w:lastColumn="0" w:oddVBand="0" w:evenVBand="0" w:oddHBand="0" w:evenHBand="0" w:firstRowFirstColumn="0" w:firstRowLastColumn="0" w:lastRowFirstColumn="0" w:lastRowLastColumn="0"/>
            <w:tcW w:w="606" w:type="pct"/>
          </w:tcPr>
          <w:p w14:paraId="47AC498B" w14:textId="77777777" w:rsidR="00282AA0" w:rsidRPr="009766A7" w:rsidRDefault="00282AA0" w:rsidP="00282AA0">
            <w:pPr>
              <w:keepNext/>
              <w:rPr>
                <w:rFonts w:asciiTheme="minorHAnsi" w:hAnsiTheme="minorHAnsi" w:cstheme="minorHAnsi"/>
                <w:b w:val="0"/>
                <w:color w:val="000000"/>
              </w:rPr>
            </w:pPr>
            <w:r w:rsidRPr="009766A7">
              <w:rPr>
                <w:rFonts w:asciiTheme="minorHAnsi" w:hAnsiTheme="minorHAnsi" w:cstheme="minorHAnsi"/>
                <w:b w:val="0"/>
              </w:rPr>
              <w:t>Priority 7</w:t>
            </w:r>
          </w:p>
        </w:tc>
        <w:tc>
          <w:tcPr>
            <w:tcW w:w="1098" w:type="pct"/>
          </w:tcPr>
          <w:p w14:paraId="378E34FC" w14:textId="77777777" w:rsidR="00282AA0" w:rsidRPr="009766A7" w:rsidRDefault="00282AA0" w:rsidP="008C6D4B">
            <w:pPr>
              <w:keepNext/>
              <w:jc w:val="right"/>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rPr>
            </w:pPr>
            <w:r w:rsidRPr="009766A7">
              <w:rPr>
                <w:rFonts w:asciiTheme="minorHAnsi" w:hAnsiTheme="minorHAnsi" w:cstheme="minorHAnsi"/>
              </w:rPr>
              <w:t xml:space="preserve">0 </w:t>
            </w:r>
          </w:p>
        </w:tc>
        <w:tc>
          <w:tcPr>
            <w:tcW w:w="1099" w:type="pct"/>
            <w:vAlign w:val="bottom"/>
          </w:tcPr>
          <w:p w14:paraId="65937911" w14:textId="77777777" w:rsidR="00282AA0" w:rsidRPr="009766A7" w:rsidRDefault="00282AA0" w:rsidP="008C6D4B">
            <w:pPr>
              <w:keepNext/>
              <w:jc w:val="right"/>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rPr>
            </w:pPr>
            <w:r w:rsidRPr="009766A7">
              <w:rPr>
                <w:rFonts w:asciiTheme="minorHAnsi" w:hAnsiTheme="minorHAnsi" w:cstheme="minorHAnsi"/>
                <w:color w:val="000000"/>
              </w:rPr>
              <w:t xml:space="preserve">0 </w:t>
            </w:r>
          </w:p>
        </w:tc>
        <w:tc>
          <w:tcPr>
            <w:tcW w:w="1098" w:type="pct"/>
          </w:tcPr>
          <w:p w14:paraId="659872FD" w14:textId="77777777" w:rsidR="00282AA0" w:rsidRPr="009766A7" w:rsidRDefault="00282AA0" w:rsidP="008C6D4B">
            <w:pPr>
              <w:keepNext/>
              <w:jc w:val="right"/>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rPr>
            </w:pPr>
            <w:r w:rsidRPr="009766A7">
              <w:rPr>
                <w:rFonts w:asciiTheme="minorHAnsi" w:hAnsiTheme="minorHAnsi" w:cstheme="minorHAnsi"/>
              </w:rPr>
              <w:t xml:space="preserve">0 </w:t>
            </w:r>
          </w:p>
        </w:tc>
        <w:tc>
          <w:tcPr>
            <w:tcW w:w="1099" w:type="pct"/>
          </w:tcPr>
          <w:p w14:paraId="248050BE" w14:textId="05AFD7B5" w:rsidR="00282AA0" w:rsidRPr="009766A7" w:rsidRDefault="00282AA0" w:rsidP="008C6D4B">
            <w:pPr>
              <w:keepNext/>
              <w:jc w:val="right"/>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rPr>
            </w:pPr>
            <w:r w:rsidRPr="009766A7">
              <w:rPr>
                <w:rFonts w:asciiTheme="minorHAnsi" w:hAnsiTheme="minorHAnsi" w:cstheme="minorHAnsi"/>
              </w:rPr>
              <w:t xml:space="preserve">0 </w:t>
            </w:r>
          </w:p>
        </w:tc>
      </w:tr>
      <w:tr w:rsidR="00282AA0" w:rsidRPr="009766A7" w14:paraId="742AA13E" w14:textId="77777777" w:rsidTr="003B42C9">
        <w:trPr>
          <w:cnfStyle w:val="000000100000" w:firstRow="0" w:lastRow="0" w:firstColumn="0" w:lastColumn="0" w:oddVBand="0" w:evenVBand="0" w:oddHBand="1" w:evenHBand="0" w:firstRowFirstColumn="0" w:firstRowLastColumn="0" w:lastRowFirstColumn="0" w:lastRowLastColumn="0"/>
          <w:trHeight w:val="40"/>
        </w:trPr>
        <w:tc>
          <w:tcPr>
            <w:cnfStyle w:val="001000000000" w:firstRow="0" w:lastRow="0" w:firstColumn="1" w:lastColumn="0" w:oddVBand="0" w:evenVBand="0" w:oddHBand="0" w:evenHBand="0" w:firstRowFirstColumn="0" w:firstRowLastColumn="0" w:lastRowFirstColumn="0" w:lastRowLastColumn="0"/>
            <w:tcW w:w="606" w:type="pct"/>
            <w:shd w:val="clear" w:color="auto" w:fill="FFDD9F"/>
          </w:tcPr>
          <w:p w14:paraId="2CF26391" w14:textId="77777777" w:rsidR="00282AA0" w:rsidRPr="009766A7" w:rsidRDefault="00282AA0" w:rsidP="00282AA0">
            <w:pPr>
              <w:keepNext/>
              <w:rPr>
                <w:rFonts w:asciiTheme="minorHAnsi" w:hAnsiTheme="minorHAnsi" w:cstheme="minorHAnsi"/>
                <w:b w:val="0"/>
              </w:rPr>
            </w:pPr>
            <w:r w:rsidRPr="009766A7">
              <w:rPr>
                <w:rFonts w:asciiTheme="minorHAnsi" w:hAnsiTheme="minorHAnsi" w:cstheme="minorHAnsi"/>
                <w:b w:val="0"/>
              </w:rPr>
              <w:t>Priority 8</w:t>
            </w:r>
          </w:p>
        </w:tc>
        <w:tc>
          <w:tcPr>
            <w:tcW w:w="1098" w:type="pct"/>
            <w:shd w:val="clear" w:color="auto" w:fill="FFDD9F"/>
          </w:tcPr>
          <w:p w14:paraId="69E26F0A" w14:textId="77777777" w:rsidR="00282AA0" w:rsidRPr="009766A7" w:rsidRDefault="00282AA0" w:rsidP="008C6D4B">
            <w:pPr>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766A7">
              <w:rPr>
                <w:rFonts w:asciiTheme="minorHAnsi" w:hAnsiTheme="minorHAnsi" w:cstheme="minorHAnsi"/>
              </w:rPr>
              <w:t>0</w:t>
            </w:r>
          </w:p>
        </w:tc>
        <w:tc>
          <w:tcPr>
            <w:tcW w:w="1099" w:type="pct"/>
            <w:shd w:val="clear" w:color="auto" w:fill="FFDD9F"/>
          </w:tcPr>
          <w:p w14:paraId="2ECAC9C5" w14:textId="77777777" w:rsidR="00282AA0" w:rsidRPr="009766A7" w:rsidRDefault="00282AA0" w:rsidP="008C6D4B">
            <w:pPr>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766A7">
              <w:rPr>
                <w:rFonts w:asciiTheme="minorHAnsi" w:hAnsiTheme="minorHAnsi" w:cstheme="minorHAnsi"/>
              </w:rPr>
              <w:t>0</w:t>
            </w:r>
          </w:p>
        </w:tc>
        <w:tc>
          <w:tcPr>
            <w:tcW w:w="1098" w:type="pct"/>
            <w:shd w:val="clear" w:color="auto" w:fill="FFDD9F"/>
          </w:tcPr>
          <w:p w14:paraId="34AB5D10" w14:textId="77777777" w:rsidR="00282AA0" w:rsidRPr="009766A7" w:rsidRDefault="00282AA0" w:rsidP="008C6D4B">
            <w:pPr>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766A7">
              <w:rPr>
                <w:rFonts w:asciiTheme="minorHAnsi" w:hAnsiTheme="minorHAnsi" w:cstheme="minorHAnsi"/>
              </w:rPr>
              <w:t>0</w:t>
            </w:r>
          </w:p>
        </w:tc>
        <w:tc>
          <w:tcPr>
            <w:tcW w:w="1099" w:type="pct"/>
            <w:shd w:val="clear" w:color="auto" w:fill="FFDD9F"/>
          </w:tcPr>
          <w:p w14:paraId="2D1E0821" w14:textId="0C349612" w:rsidR="00282AA0" w:rsidRPr="009766A7" w:rsidRDefault="00282AA0" w:rsidP="008C6D4B">
            <w:pPr>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766A7">
              <w:rPr>
                <w:rFonts w:asciiTheme="minorHAnsi" w:hAnsiTheme="minorHAnsi" w:cstheme="minorHAnsi"/>
              </w:rPr>
              <w:t>0</w:t>
            </w:r>
          </w:p>
        </w:tc>
      </w:tr>
      <w:tr w:rsidR="00282AA0" w:rsidRPr="009766A7" w14:paraId="64694040" w14:textId="77777777" w:rsidTr="003B42C9">
        <w:trPr>
          <w:trHeight w:val="40"/>
        </w:trPr>
        <w:tc>
          <w:tcPr>
            <w:cnfStyle w:val="001000000000" w:firstRow="0" w:lastRow="0" w:firstColumn="1" w:lastColumn="0" w:oddVBand="0" w:evenVBand="0" w:oddHBand="0" w:evenHBand="0" w:firstRowFirstColumn="0" w:firstRowLastColumn="0" w:lastRowFirstColumn="0" w:lastRowLastColumn="0"/>
            <w:tcW w:w="606" w:type="pct"/>
          </w:tcPr>
          <w:p w14:paraId="2278BDC3" w14:textId="77777777" w:rsidR="00282AA0" w:rsidRPr="009766A7" w:rsidRDefault="00282AA0" w:rsidP="00282AA0">
            <w:pPr>
              <w:keepNext/>
              <w:rPr>
                <w:rFonts w:asciiTheme="minorHAnsi" w:hAnsiTheme="minorHAnsi" w:cstheme="minorHAnsi"/>
                <w:b w:val="0"/>
              </w:rPr>
            </w:pPr>
            <w:r w:rsidRPr="009766A7">
              <w:rPr>
                <w:rFonts w:asciiTheme="minorHAnsi" w:hAnsiTheme="minorHAnsi" w:cstheme="minorHAnsi"/>
                <w:b w:val="0"/>
              </w:rPr>
              <w:t>Total</w:t>
            </w:r>
          </w:p>
        </w:tc>
        <w:tc>
          <w:tcPr>
            <w:tcW w:w="1098" w:type="pct"/>
          </w:tcPr>
          <w:p w14:paraId="0D14AD99" w14:textId="77777777" w:rsidR="00282AA0" w:rsidRPr="009766A7" w:rsidRDefault="00282AA0" w:rsidP="008C6D4B">
            <w:pPr>
              <w:keepN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66A7">
              <w:rPr>
                <w:rFonts w:asciiTheme="minorHAnsi" w:hAnsiTheme="minorHAnsi" w:cstheme="minorHAnsi"/>
              </w:rPr>
              <w:t>775,659,136</w:t>
            </w:r>
          </w:p>
        </w:tc>
        <w:tc>
          <w:tcPr>
            <w:tcW w:w="1099" w:type="pct"/>
          </w:tcPr>
          <w:p w14:paraId="6D546C32" w14:textId="77777777" w:rsidR="00282AA0" w:rsidRPr="009766A7" w:rsidRDefault="00282AA0" w:rsidP="008C6D4B">
            <w:pPr>
              <w:keepN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66A7">
              <w:rPr>
                <w:rFonts w:asciiTheme="minorHAnsi" w:hAnsiTheme="minorHAnsi" w:cstheme="minorHAnsi"/>
                <w:color w:val="000000"/>
              </w:rPr>
              <w:t xml:space="preserve">60,300,000 </w:t>
            </w:r>
          </w:p>
        </w:tc>
        <w:tc>
          <w:tcPr>
            <w:tcW w:w="1098" w:type="pct"/>
          </w:tcPr>
          <w:p w14:paraId="5AC79B0C" w14:textId="77777777" w:rsidR="00282AA0" w:rsidRPr="009766A7" w:rsidRDefault="00282AA0" w:rsidP="008C6D4B">
            <w:pPr>
              <w:keepN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66A7">
              <w:rPr>
                <w:rFonts w:asciiTheme="minorHAnsi" w:hAnsiTheme="minorHAnsi" w:cstheme="minorHAnsi"/>
              </w:rPr>
              <w:t>310,108,758</w:t>
            </w:r>
          </w:p>
        </w:tc>
        <w:tc>
          <w:tcPr>
            <w:tcW w:w="1099" w:type="pct"/>
          </w:tcPr>
          <w:p w14:paraId="3693EFF4" w14:textId="21A457BB" w:rsidR="00282AA0" w:rsidRPr="009766A7" w:rsidRDefault="00282AA0" w:rsidP="008C6D4B">
            <w:pPr>
              <w:keepN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66A7">
              <w:rPr>
                <w:rFonts w:asciiTheme="minorHAnsi" w:hAnsiTheme="minorHAnsi" w:cstheme="minorHAnsi"/>
              </w:rPr>
              <w:t>945,895,706</w:t>
            </w:r>
          </w:p>
        </w:tc>
      </w:tr>
    </w:tbl>
    <w:p w14:paraId="34D2C492" w14:textId="77777777" w:rsidR="003B42C9" w:rsidRPr="009766A7" w:rsidRDefault="003B42C9" w:rsidP="003B42C9">
      <w:pPr>
        <w:rPr>
          <w:rStyle w:val="Strong"/>
          <w:rFonts w:asciiTheme="minorHAnsi" w:hAnsiTheme="minorHAnsi" w:cstheme="minorHAnsi"/>
          <w:b w:val="0"/>
        </w:rPr>
      </w:pPr>
    </w:p>
    <w:tbl>
      <w:tblPr>
        <w:tblStyle w:val="GridTable4-Accent1"/>
        <w:tblW w:w="5000" w:type="pct"/>
        <w:tblLook w:val="04A0" w:firstRow="1" w:lastRow="0" w:firstColumn="1" w:lastColumn="0" w:noHBand="0" w:noVBand="1"/>
      </w:tblPr>
      <w:tblGrid>
        <w:gridCol w:w="1875"/>
        <w:gridCol w:w="2857"/>
        <w:gridCol w:w="2861"/>
        <w:gridCol w:w="2863"/>
      </w:tblGrid>
      <w:tr w:rsidR="008C6117" w:rsidRPr="009766A7" w14:paraId="6FDDAA48" w14:textId="77777777" w:rsidTr="00DE511C">
        <w:trPr>
          <w:cnfStyle w:val="100000000000" w:firstRow="1" w:lastRow="0" w:firstColumn="0" w:lastColumn="0" w:oddVBand="0" w:evenVBand="0" w:oddHBand="0"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69E00"/>
          </w:tcPr>
          <w:p w14:paraId="19E48C0E" w14:textId="3F793E7D" w:rsidR="008C6117" w:rsidRPr="009766A7" w:rsidRDefault="00964100" w:rsidP="008C6117">
            <w:pPr>
              <w:keepNext/>
              <w:keepLines/>
              <w:ind w:left="113" w:right="113"/>
              <w:jc w:val="center"/>
              <w:rPr>
                <w:rFonts w:asciiTheme="minorHAnsi" w:hAnsiTheme="minorHAnsi" w:cstheme="minorHAnsi"/>
                <w:b w:val="0"/>
                <w:bCs w:val="0"/>
              </w:rPr>
            </w:pPr>
            <w:r w:rsidRPr="009766A7">
              <w:rPr>
                <w:rFonts w:asciiTheme="minorHAnsi" w:hAnsiTheme="minorHAnsi" w:cstheme="minorHAnsi"/>
              </w:rPr>
              <w:t xml:space="preserve">Approved 2018/19 </w:t>
            </w:r>
            <w:r>
              <w:rPr>
                <w:rFonts w:asciiTheme="minorHAnsi" w:hAnsiTheme="minorHAnsi" w:cstheme="minorHAnsi"/>
              </w:rPr>
              <w:t xml:space="preserve">-2019/20 </w:t>
            </w:r>
            <w:r w:rsidRPr="009766A7">
              <w:rPr>
                <w:rFonts w:asciiTheme="minorHAnsi" w:hAnsiTheme="minorHAnsi" w:cstheme="minorHAnsi"/>
              </w:rPr>
              <w:t>funding by activity class</w:t>
            </w:r>
          </w:p>
        </w:tc>
      </w:tr>
      <w:tr w:rsidR="008C6117" w:rsidRPr="009766A7" w14:paraId="099D2084" w14:textId="77777777" w:rsidTr="00DE511C">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897" w:type="pct"/>
            <w:shd w:val="clear" w:color="auto" w:fill="FFDD9F"/>
            <w:textDirection w:val="btLr"/>
          </w:tcPr>
          <w:p w14:paraId="1751DF6B" w14:textId="77777777" w:rsidR="008C6117" w:rsidRPr="009766A7" w:rsidRDefault="008C6117" w:rsidP="008C6117">
            <w:pPr>
              <w:keepNext/>
              <w:keepLines/>
              <w:ind w:left="113" w:right="113"/>
              <w:jc w:val="center"/>
              <w:rPr>
                <w:rFonts w:asciiTheme="minorHAnsi" w:hAnsiTheme="minorHAnsi" w:cstheme="minorHAnsi"/>
              </w:rPr>
            </w:pPr>
          </w:p>
        </w:tc>
        <w:tc>
          <w:tcPr>
            <w:tcW w:w="1366" w:type="pct"/>
            <w:shd w:val="clear" w:color="auto" w:fill="FFDD9F"/>
          </w:tcPr>
          <w:p w14:paraId="3AF4BEF9" w14:textId="77777777" w:rsidR="008C6117" w:rsidRPr="009766A7" w:rsidRDefault="008C6117" w:rsidP="008C6117">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9766A7">
              <w:rPr>
                <w:rFonts w:asciiTheme="minorHAnsi" w:hAnsiTheme="minorHAnsi" w:cstheme="minorHAnsi"/>
                <w:b/>
              </w:rPr>
              <w:t>Regional improvements</w:t>
            </w:r>
          </w:p>
        </w:tc>
        <w:tc>
          <w:tcPr>
            <w:tcW w:w="1368" w:type="pct"/>
            <w:shd w:val="clear" w:color="auto" w:fill="FFDD9F"/>
          </w:tcPr>
          <w:p w14:paraId="5A4F2BA6" w14:textId="77777777" w:rsidR="008C6117" w:rsidRPr="009766A7" w:rsidRDefault="008C6117" w:rsidP="008C6117">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9766A7">
              <w:rPr>
                <w:rFonts w:asciiTheme="minorHAnsi" w:hAnsiTheme="minorHAnsi" w:cstheme="minorHAnsi"/>
                <w:b/>
              </w:rPr>
              <w:t>State highways improvements</w:t>
            </w:r>
          </w:p>
        </w:tc>
        <w:tc>
          <w:tcPr>
            <w:tcW w:w="1369" w:type="pct"/>
            <w:shd w:val="clear" w:color="auto" w:fill="FFDD9F"/>
          </w:tcPr>
          <w:p w14:paraId="044FEF54" w14:textId="77777777" w:rsidR="008C6117" w:rsidRPr="009766A7" w:rsidRDefault="008C6117" w:rsidP="008C6117">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9766A7">
              <w:rPr>
                <w:rFonts w:asciiTheme="minorHAnsi" w:hAnsiTheme="minorHAnsi" w:cstheme="minorHAnsi"/>
                <w:b/>
              </w:rPr>
              <w:t>Promotion of road safety and demand management</w:t>
            </w:r>
          </w:p>
        </w:tc>
      </w:tr>
      <w:tr w:rsidR="008C6117" w:rsidRPr="009766A7" w14:paraId="547E844F" w14:textId="77777777" w:rsidTr="00DE511C">
        <w:trPr>
          <w:trHeight w:val="40"/>
        </w:trPr>
        <w:tc>
          <w:tcPr>
            <w:cnfStyle w:val="001000000000" w:firstRow="0" w:lastRow="0" w:firstColumn="1" w:lastColumn="0" w:oddVBand="0" w:evenVBand="0" w:oddHBand="0" w:evenHBand="0" w:firstRowFirstColumn="0" w:firstRowLastColumn="0" w:lastRowFirstColumn="0" w:lastRowLastColumn="0"/>
            <w:tcW w:w="897" w:type="pct"/>
          </w:tcPr>
          <w:p w14:paraId="6BF527DD" w14:textId="77777777" w:rsidR="008C6117" w:rsidRPr="009766A7" w:rsidRDefault="008C6117" w:rsidP="008C6117">
            <w:pPr>
              <w:keepNext/>
              <w:keepLines/>
              <w:rPr>
                <w:rFonts w:asciiTheme="minorHAnsi" w:hAnsiTheme="minorHAnsi" w:cstheme="minorHAnsi"/>
                <w:b w:val="0"/>
              </w:rPr>
            </w:pPr>
            <w:r w:rsidRPr="009766A7">
              <w:rPr>
                <w:rFonts w:asciiTheme="minorHAnsi" w:hAnsiTheme="minorHAnsi" w:cstheme="minorHAnsi"/>
                <w:b w:val="0"/>
              </w:rPr>
              <w:t>Priority 1</w:t>
            </w:r>
          </w:p>
        </w:tc>
        <w:tc>
          <w:tcPr>
            <w:tcW w:w="1366" w:type="pct"/>
          </w:tcPr>
          <w:p w14:paraId="3707472A" w14:textId="77777777" w:rsidR="008C6117" w:rsidRPr="009766A7" w:rsidRDefault="008C6117" w:rsidP="008C6117">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66A7">
              <w:rPr>
                <w:rFonts w:asciiTheme="minorHAnsi" w:hAnsiTheme="minorHAnsi" w:cstheme="minorHAnsi"/>
              </w:rPr>
              <w:t xml:space="preserve">6,750,000 </w:t>
            </w:r>
          </w:p>
        </w:tc>
        <w:tc>
          <w:tcPr>
            <w:tcW w:w="1368" w:type="pct"/>
          </w:tcPr>
          <w:p w14:paraId="2D41F618" w14:textId="77777777" w:rsidR="008C6117" w:rsidRPr="009766A7" w:rsidRDefault="008C6117" w:rsidP="008C6117">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66A7">
              <w:rPr>
                <w:rFonts w:asciiTheme="minorHAnsi" w:hAnsiTheme="minorHAnsi" w:cstheme="minorHAnsi"/>
              </w:rPr>
              <w:t xml:space="preserve">48,102,830 </w:t>
            </w:r>
          </w:p>
        </w:tc>
        <w:tc>
          <w:tcPr>
            <w:tcW w:w="1369" w:type="pct"/>
          </w:tcPr>
          <w:p w14:paraId="22849CC2" w14:textId="77777777" w:rsidR="008C6117" w:rsidRPr="009766A7" w:rsidRDefault="008C6117" w:rsidP="008C6117">
            <w:pPr>
              <w:keepNext/>
              <w:keepLines/>
              <w:tabs>
                <w:tab w:val="left" w:pos="457"/>
              </w:tab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66A7">
              <w:rPr>
                <w:rFonts w:asciiTheme="minorHAnsi" w:hAnsiTheme="minorHAnsi" w:cstheme="minorHAnsi"/>
              </w:rPr>
              <w:t>750,000</w:t>
            </w:r>
          </w:p>
        </w:tc>
      </w:tr>
      <w:tr w:rsidR="008C6117" w:rsidRPr="009766A7" w14:paraId="17624EFE" w14:textId="77777777" w:rsidTr="00DE511C">
        <w:trPr>
          <w:cnfStyle w:val="000000100000" w:firstRow="0" w:lastRow="0" w:firstColumn="0" w:lastColumn="0" w:oddVBand="0" w:evenVBand="0" w:oddHBand="1" w:evenHBand="0" w:firstRowFirstColumn="0" w:firstRowLastColumn="0" w:lastRowFirstColumn="0" w:lastRowLastColumn="0"/>
          <w:trHeight w:val="40"/>
        </w:trPr>
        <w:tc>
          <w:tcPr>
            <w:cnfStyle w:val="001000000000" w:firstRow="0" w:lastRow="0" w:firstColumn="1" w:lastColumn="0" w:oddVBand="0" w:evenVBand="0" w:oddHBand="0" w:evenHBand="0" w:firstRowFirstColumn="0" w:firstRowLastColumn="0" w:lastRowFirstColumn="0" w:lastRowLastColumn="0"/>
            <w:tcW w:w="897" w:type="pct"/>
            <w:shd w:val="clear" w:color="auto" w:fill="FFDD9F"/>
          </w:tcPr>
          <w:p w14:paraId="14A6AFA1" w14:textId="77777777" w:rsidR="008C6117" w:rsidRPr="009766A7" w:rsidRDefault="008C6117" w:rsidP="008C6117">
            <w:pPr>
              <w:keepNext/>
              <w:keepLines/>
              <w:rPr>
                <w:rFonts w:asciiTheme="minorHAnsi" w:hAnsiTheme="minorHAnsi" w:cstheme="minorHAnsi"/>
                <w:b w:val="0"/>
                <w:color w:val="000000"/>
              </w:rPr>
            </w:pPr>
            <w:r w:rsidRPr="009766A7">
              <w:rPr>
                <w:rFonts w:asciiTheme="minorHAnsi" w:hAnsiTheme="minorHAnsi" w:cstheme="minorHAnsi"/>
                <w:b w:val="0"/>
              </w:rPr>
              <w:t>Priority 2</w:t>
            </w:r>
          </w:p>
        </w:tc>
        <w:tc>
          <w:tcPr>
            <w:tcW w:w="1366" w:type="pct"/>
            <w:shd w:val="clear" w:color="auto" w:fill="FFDD9F"/>
          </w:tcPr>
          <w:p w14:paraId="59AC80AA" w14:textId="77777777" w:rsidR="008C6117" w:rsidRPr="009766A7" w:rsidRDefault="008C6117" w:rsidP="008C6117">
            <w:pPr>
              <w:keepNext/>
              <w:keepLines/>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9766A7">
              <w:rPr>
                <w:rFonts w:asciiTheme="minorHAnsi" w:hAnsiTheme="minorHAnsi" w:cstheme="minorHAnsi"/>
              </w:rPr>
              <w:t xml:space="preserve">3,705,000 </w:t>
            </w:r>
          </w:p>
        </w:tc>
        <w:tc>
          <w:tcPr>
            <w:tcW w:w="1368" w:type="pct"/>
            <w:shd w:val="clear" w:color="auto" w:fill="FFDD9F"/>
          </w:tcPr>
          <w:p w14:paraId="49D0D70B" w14:textId="77777777" w:rsidR="008C6117" w:rsidRPr="009766A7" w:rsidRDefault="008C6117" w:rsidP="008C6117">
            <w:pPr>
              <w:keepNext/>
              <w:keepLines/>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9766A7">
              <w:rPr>
                <w:rFonts w:asciiTheme="minorHAnsi" w:hAnsiTheme="minorHAnsi" w:cstheme="minorHAnsi"/>
              </w:rPr>
              <w:t xml:space="preserve">107,087,343 </w:t>
            </w:r>
          </w:p>
        </w:tc>
        <w:tc>
          <w:tcPr>
            <w:tcW w:w="1369" w:type="pct"/>
            <w:shd w:val="clear" w:color="auto" w:fill="FFDD9F"/>
          </w:tcPr>
          <w:p w14:paraId="23D0ABFA" w14:textId="77777777" w:rsidR="008C6117" w:rsidRPr="009766A7" w:rsidRDefault="008C6117" w:rsidP="008C6117">
            <w:pPr>
              <w:keepNext/>
              <w:keepLines/>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9766A7">
              <w:rPr>
                <w:rFonts w:asciiTheme="minorHAnsi" w:hAnsiTheme="minorHAnsi" w:cstheme="minorHAnsi"/>
              </w:rPr>
              <w:t xml:space="preserve">14,172,919 </w:t>
            </w:r>
          </w:p>
        </w:tc>
      </w:tr>
      <w:tr w:rsidR="008C6117" w:rsidRPr="009766A7" w14:paraId="7E9EFC67" w14:textId="77777777" w:rsidTr="00DE511C">
        <w:trPr>
          <w:trHeight w:val="40"/>
        </w:trPr>
        <w:tc>
          <w:tcPr>
            <w:cnfStyle w:val="001000000000" w:firstRow="0" w:lastRow="0" w:firstColumn="1" w:lastColumn="0" w:oddVBand="0" w:evenVBand="0" w:oddHBand="0" w:evenHBand="0" w:firstRowFirstColumn="0" w:firstRowLastColumn="0" w:lastRowFirstColumn="0" w:lastRowLastColumn="0"/>
            <w:tcW w:w="897" w:type="pct"/>
          </w:tcPr>
          <w:p w14:paraId="317D3074" w14:textId="77777777" w:rsidR="008C6117" w:rsidRPr="009766A7" w:rsidRDefault="008C6117" w:rsidP="008C6117">
            <w:pPr>
              <w:keepNext/>
              <w:keepLines/>
              <w:rPr>
                <w:rFonts w:asciiTheme="minorHAnsi" w:hAnsiTheme="minorHAnsi" w:cstheme="minorHAnsi"/>
                <w:b w:val="0"/>
                <w:color w:val="000000"/>
              </w:rPr>
            </w:pPr>
            <w:r w:rsidRPr="009766A7">
              <w:rPr>
                <w:rFonts w:asciiTheme="minorHAnsi" w:hAnsiTheme="minorHAnsi" w:cstheme="minorHAnsi"/>
                <w:b w:val="0"/>
              </w:rPr>
              <w:t>Priority 3</w:t>
            </w:r>
          </w:p>
        </w:tc>
        <w:tc>
          <w:tcPr>
            <w:tcW w:w="1366" w:type="pct"/>
          </w:tcPr>
          <w:p w14:paraId="2AB8A53D" w14:textId="77777777" w:rsidR="008C6117" w:rsidRPr="009766A7" w:rsidRDefault="008C6117" w:rsidP="008C6117">
            <w:pPr>
              <w:keepNext/>
              <w:keepLines/>
              <w:jc w:val="right"/>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rPr>
            </w:pPr>
            <w:r w:rsidRPr="009766A7">
              <w:rPr>
                <w:rFonts w:asciiTheme="minorHAnsi" w:hAnsiTheme="minorHAnsi" w:cstheme="minorHAnsi"/>
              </w:rPr>
              <w:t xml:space="preserve">4,080,000 </w:t>
            </w:r>
          </w:p>
        </w:tc>
        <w:tc>
          <w:tcPr>
            <w:tcW w:w="1368" w:type="pct"/>
          </w:tcPr>
          <w:p w14:paraId="08A7D980" w14:textId="77777777" w:rsidR="008C6117" w:rsidRPr="009766A7" w:rsidRDefault="008C6117" w:rsidP="008C6117">
            <w:pPr>
              <w:keepNext/>
              <w:keepLines/>
              <w:jc w:val="right"/>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rPr>
            </w:pPr>
            <w:r w:rsidRPr="009766A7">
              <w:rPr>
                <w:rFonts w:asciiTheme="minorHAnsi" w:hAnsiTheme="minorHAnsi" w:cstheme="minorHAnsi"/>
              </w:rPr>
              <w:t xml:space="preserve">11,769,788 </w:t>
            </w:r>
          </w:p>
        </w:tc>
        <w:tc>
          <w:tcPr>
            <w:tcW w:w="1369" w:type="pct"/>
          </w:tcPr>
          <w:p w14:paraId="4D317D41" w14:textId="77777777" w:rsidR="008C6117" w:rsidRPr="009766A7" w:rsidRDefault="008C6117" w:rsidP="008C6117">
            <w:pPr>
              <w:keepNext/>
              <w:keepLines/>
              <w:jc w:val="right"/>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rPr>
            </w:pPr>
            <w:r w:rsidRPr="009766A7">
              <w:rPr>
                <w:rFonts w:asciiTheme="minorHAnsi" w:hAnsiTheme="minorHAnsi" w:cstheme="minorHAnsi"/>
              </w:rPr>
              <w:t xml:space="preserve">7,324,040 </w:t>
            </w:r>
          </w:p>
        </w:tc>
      </w:tr>
      <w:tr w:rsidR="008C6117" w:rsidRPr="009766A7" w14:paraId="4C289F04" w14:textId="77777777" w:rsidTr="00DE511C">
        <w:trPr>
          <w:cnfStyle w:val="000000100000" w:firstRow="0" w:lastRow="0" w:firstColumn="0" w:lastColumn="0" w:oddVBand="0" w:evenVBand="0" w:oddHBand="1" w:evenHBand="0" w:firstRowFirstColumn="0" w:firstRowLastColumn="0" w:lastRowFirstColumn="0" w:lastRowLastColumn="0"/>
          <w:trHeight w:val="40"/>
        </w:trPr>
        <w:tc>
          <w:tcPr>
            <w:cnfStyle w:val="001000000000" w:firstRow="0" w:lastRow="0" w:firstColumn="1" w:lastColumn="0" w:oddVBand="0" w:evenVBand="0" w:oddHBand="0" w:evenHBand="0" w:firstRowFirstColumn="0" w:firstRowLastColumn="0" w:lastRowFirstColumn="0" w:lastRowLastColumn="0"/>
            <w:tcW w:w="897" w:type="pct"/>
            <w:shd w:val="clear" w:color="auto" w:fill="FFDD9F"/>
          </w:tcPr>
          <w:p w14:paraId="3445FACC" w14:textId="77777777" w:rsidR="008C6117" w:rsidRPr="009766A7" w:rsidRDefault="008C6117" w:rsidP="008C6117">
            <w:pPr>
              <w:keepNext/>
              <w:keepLines/>
              <w:rPr>
                <w:rFonts w:asciiTheme="minorHAnsi" w:hAnsiTheme="minorHAnsi" w:cstheme="minorHAnsi"/>
                <w:b w:val="0"/>
                <w:color w:val="000000"/>
              </w:rPr>
            </w:pPr>
            <w:r w:rsidRPr="009766A7">
              <w:rPr>
                <w:rFonts w:asciiTheme="minorHAnsi" w:hAnsiTheme="minorHAnsi" w:cstheme="minorHAnsi"/>
                <w:b w:val="0"/>
              </w:rPr>
              <w:t>Priority 4</w:t>
            </w:r>
          </w:p>
        </w:tc>
        <w:tc>
          <w:tcPr>
            <w:tcW w:w="1366" w:type="pct"/>
            <w:shd w:val="clear" w:color="auto" w:fill="FFDD9F"/>
          </w:tcPr>
          <w:p w14:paraId="7BB335DA" w14:textId="77777777" w:rsidR="008C6117" w:rsidRPr="009766A7" w:rsidRDefault="008C6117" w:rsidP="008C6117">
            <w:pPr>
              <w:keepNext/>
              <w:keepLines/>
              <w:jc w:val="right"/>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rPr>
            </w:pPr>
            <w:r w:rsidRPr="009766A7">
              <w:rPr>
                <w:rFonts w:asciiTheme="minorHAnsi" w:hAnsiTheme="minorHAnsi" w:cstheme="minorHAnsi"/>
              </w:rPr>
              <w:t xml:space="preserve">4,700,970 </w:t>
            </w:r>
          </w:p>
        </w:tc>
        <w:tc>
          <w:tcPr>
            <w:tcW w:w="1368" w:type="pct"/>
            <w:shd w:val="clear" w:color="auto" w:fill="FFDD9F"/>
          </w:tcPr>
          <w:p w14:paraId="2525F2EB" w14:textId="77777777" w:rsidR="008C6117" w:rsidRPr="009766A7" w:rsidRDefault="008C6117" w:rsidP="008C6117">
            <w:pPr>
              <w:keepNext/>
              <w:keepLines/>
              <w:jc w:val="right"/>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rPr>
            </w:pPr>
            <w:r w:rsidRPr="009766A7">
              <w:rPr>
                <w:rFonts w:asciiTheme="minorHAnsi" w:hAnsiTheme="minorHAnsi" w:cstheme="minorHAnsi"/>
              </w:rPr>
              <w:t xml:space="preserve">197,540,443 </w:t>
            </w:r>
          </w:p>
        </w:tc>
        <w:tc>
          <w:tcPr>
            <w:tcW w:w="1369" w:type="pct"/>
            <w:shd w:val="clear" w:color="auto" w:fill="FFDD9F"/>
          </w:tcPr>
          <w:p w14:paraId="58303330" w14:textId="77777777" w:rsidR="008C6117" w:rsidRPr="009766A7" w:rsidRDefault="008C6117" w:rsidP="008C6117">
            <w:pPr>
              <w:keepNext/>
              <w:keepLines/>
              <w:jc w:val="right"/>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rPr>
            </w:pPr>
            <w:r w:rsidRPr="009766A7">
              <w:rPr>
                <w:rFonts w:asciiTheme="minorHAnsi" w:hAnsiTheme="minorHAnsi" w:cstheme="minorHAnsi"/>
              </w:rPr>
              <w:t xml:space="preserve">2,132,002 </w:t>
            </w:r>
          </w:p>
        </w:tc>
      </w:tr>
      <w:tr w:rsidR="008C6117" w:rsidRPr="009766A7" w14:paraId="614D9B6F" w14:textId="77777777" w:rsidTr="00DE511C">
        <w:trPr>
          <w:trHeight w:val="40"/>
        </w:trPr>
        <w:tc>
          <w:tcPr>
            <w:cnfStyle w:val="001000000000" w:firstRow="0" w:lastRow="0" w:firstColumn="1" w:lastColumn="0" w:oddVBand="0" w:evenVBand="0" w:oddHBand="0" w:evenHBand="0" w:firstRowFirstColumn="0" w:firstRowLastColumn="0" w:lastRowFirstColumn="0" w:lastRowLastColumn="0"/>
            <w:tcW w:w="897" w:type="pct"/>
          </w:tcPr>
          <w:p w14:paraId="4D69297B" w14:textId="77777777" w:rsidR="008C6117" w:rsidRPr="009766A7" w:rsidRDefault="008C6117" w:rsidP="008C6117">
            <w:pPr>
              <w:keepNext/>
              <w:keepLines/>
              <w:rPr>
                <w:rFonts w:asciiTheme="minorHAnsi" w:hAnsiTheme="minorHAnsi" w:cstheme="minorHAnsi"/>
                <w:b w:val="0"/>
                <w:color w:val="000000"/>
              </w:rPr>
            </w:pPr>
            <w:r w:rsidRPr="009766A7">
              <w:rPr>
                <w:rFonts w:asciiTheme="minorHAnsi" w:hAnsiTheme="minorHAnsi" w:cstheme="minorHAnsi"/>
                <w:b w:val="0"/>
              </w:rPr>
              <w:t>Priority 5</w:t>
            </w:r>
          </w:p>
        </w:tc>
        <w:tc>
          <w:tcPr>
            <w:tcW w:w="1366" w:type="pct"/>
          </w:tcPr>
          <w:p w14:paraId="56692308" w14:textId="77777777" w:rsidR="008C6117" w:rsidRPr="009766A7" w:rsidRDefault="008C6117" w:rsidP="008C6117">
            <w:pPr>
              <w:keepNext/>
              <w:keepLines/>
              <w:jc w:val="right"/>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rPr>
            </w:pPr>
            <w:r w:rsidRPr="009766A7">
              <w:rPr>
                <w:rFonts w:asciiTheme="minorHAnsi" w:hAnsiTheme="minorHAnsi" w:cstheme="minorHAnsi"/>
              </w:rPr>
              <w:t xml:space="preserve">52,975,318 </w:t>
            </w:r>
          </w:p>
        </w:tc>
        <w:tc>
          <w:tcPr>
            <w:tcW w:w="1368" w:type="pct"/>
          </w:tcPr>
          <w:p w14:paraId="1A71D176" w14:textId="77777777" w:rsidR="008C6117" w:rsidRPr="009766A7" w:rsidRDefault="008C6117" w:rsidP="008C6117">
            <w:pPr>
              <w:keepNext/>
              <w:keepLines/>
              <w:jc w:val="right"/>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rPr>
            </w:pPr>
            <w:r w:rsidRPr="009766A7">
              <w:rPr>
                <w:rFonts w:asciiTheme="minorHAnsi" w:hAnsiTheme="minorHAnsi" w:cstheme="minorHAnsi"/>
              </w:rPr>
              <w:t xml:space="preserve">358,000,413 </w:t>
            </w:r>
          </w:p>
        </w:tc>
        <w:tc>
          <w:tcPr>
            <w:tcW w:w="1369" w:type="pct"/>
          </w:tcPr>
          <w:p w14:paraId="3181F2D5" w14:textId="77777777" w:rsidR="008C6117" w:rsidRPr="009766A7" w:rsidRDefault="008C6117" w:rsidP="008C6117">
            <w:pPr>
              <w:keepNext/>
              <w:keepLines/>
              <w:jc w:val="right"/>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rPr>
            </w:pPr>
            <w:r w:rsidRPr="009766A7">
              <w:rPr>
                <w:rFonts w:asciiTheme="minorHAnsi" w:hAnsiTheme="minorHAnsi" w:cstheme="minorHAnsi"/>
              </w:rPr>
              <w:t xml:space="preserve">4,279,032 </w:t>
            </w:r>
          </w:p>
        </w:tc>
      </w:tr>
      <w:tr w:rsidR="008C6117" w:rsidRPr="009766A7" w14:paraId="08C4CC25" w14:textId="77777777" w:rsidTr="00DE511C">
        <w:trPr>
          <w:cnfStyle w:val="000000100000" w:firstRow="0" w:lastRow="0" w:firstColumn="0" w:lastColumn="0" w:oddVBand="0" w:evenVBand="0" w:oddHBand="1" w:evenHBand="0" w:firstRowFirstColumn="0" w:firstRowLastColumn="0" w:lastRowFirstColumn="0" w:lastRowLastColumn="0"/>
          <w:trHeight w:val="40"/>
        </w:trPr>
        <w:tc>
          <w:tcPr>
            <w:cnfStyle w:val="001000000000" w:firstRow="0" w:lastRow="0" w:firstColumn="1" w:lastColumn="0" w:oddVBand="0" w:evenVBand="0" w:oddHBand="0" w:evenHBand="0" w:firstRowFirstColumn="0" w:firstRowLastColumn="0" w:lastRowFirstColumn="0" w:lastRowLastColumn="0"/>
            <w:tcW w:w="897" w:type="pct"/>
            <w:shd w:val="clear" w:color="auto" w:fill="FFDD9F"/>
          </w:tcPr>
          <w:p w14:paraId="7950EB28" w14:textId="77777777" w:rsidR="008C6117" w:rsidRPr="009766A7" w:rsidRDefault="008C6117" w:rsidP="008C6117">
            <w:pPr>
              <w:keepNext/>
              <w:keepLines/>
              <w:rPr>
                <w:rFonts w:asciiTheme="minorHAnsi" w:hAnsiTheme="minorHAnsi" w:cstheme="minorHAnsi"/>
                <w:b w:val="0"/>
                <w:color w:val="000000"/>
              </w:rPr>
            </w:pPr>
            <w:r w:rsidRPr="009766A7">
              <w:rPr>
                <w:rFonts w:asciiTheme="minorHAnsi" w:hAnsiTheme="minorHAnsi" w:cstheme="minorHAnsi"/>
                <w:b w:val="0"/>
              </w:rPr>
              <w:t>Priority 6</w:t>
            </w:r>
          </w:p>
        </w:tc>
        <w:tc>
          <w:tcPr>
            <w:tcW w:w="1366" w:type="pct"/>
            <w:shd w:val="clear" w:color="auto" w:fill="FFDD9F"/>
          </w:tcPr>
          <w:p w14:paraId="305A44B5" w14:textId="77777777" w:rsidR="008C6117" w:rsidRPr="009766A7" w:rsidRDefault="008C6117" w:rsidP="008C6117">
            <w:pPr>
              <w:keepNext/>
              <w:keepLines/>
              <w:jc w:val="right"/>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rPr>
            </w:pPr>
            <w:r w:rsidRPr="009766A7">
              <w:rPr>
                <w:rFonts w:asciiTheme="minorHAnsi" w:hAnsiTheme="minorHAnsi" w:cstheme="minorHAnsi"/>
              </w:rPr>
              <w:t xml:space="preserve">34,264,455 </w:t>
            </w:r>
          </w:p>
        </w:tc>
        <w:tc>
          <w:tcPr>
            <w:tcW w:w="1368" w:type="pct"/>
            <w:shd w:val="clear" w:color="auto" w:fill="FFDD9F"/>
          </w:tcPr>
          <w:p w14:paraId="120AB23E" w14:textId="77777777" w:rsidR="008C6117" w:rsidRPr="009766A7" w:rsidRDefault="008C6117" w:rsidP="008C6117">
            <w:pPr>
              <w:keepNext/>
              <w:keepLines/>
              <w:jc w:val="right"/>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rPr>
            </w:pPr>
            <w:r w:rsidRPr="009766A7">
              <w:rPr>
                <w:rFonts w:asciiTheme="minorHAnsi" w:hAnsiTheme="minorHAnsi" w:cstheme="minorHAnsi"/>
              </w:rPr>
              <w:t xml:space="preserve">29,729,475 </w:t>
            </w:r>
          </w:p>
        </w:tc>
        <w:tc>
          <w:tcPr>
            <w:tcW w:w="1369" w:type="pct"/>
            <w:shd w:val="clear" w:color="auto" w:fill="FFDD9F"/>
          </w:tcPr>
          <w:p w14:paraId="13D5B671" w14:textId="77777777" w:rsidR="008C6117" w:rsidRPr="009766A7" w:rsidRDefault="008C6117" w:rsidP="008C6117">
            <w:pPr>
              <w:keepNext/>
              <w:keepLines/>
              <w:jc w:val="right"/>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rPr>
            </w:pPr>
            <w:r w:rsidRPr="009766A7">
              <w:rPr>
                <w:rFonts w:asciiTheme="minorHAnsi" w:hAnsiTheme="minorHAnsi" w:cstheme="minorHAnsi"/>
              </w:rPr>
              <w:t xml:space="preserve">4,769,235 </w:t>
            </w:r>
          </w:p>
        </w:tc>
      </w:tr>
      <w:tr w:rsidR="008C6117" w:rsidRPr="009766A7" w14:paraId="2261EBA7" w14:textId="77777777" w:rsidTr="00DE511C">
        <w:trPr>
          <w:trHeight w:val="40"/>
        </w:trPr>
        <w:tc>
          <w:tcPr>
            <w:cnfStyle w:val="001000000000" w:firstRow="0" w:lastRow="0" w:firstColumn="1" w:lastColumn="0" w:oddVBand="0" w:evenVBand="0" w:oddHBand="0" w:evenHBand="0" w:firstRowFirstColumn="0" w:firstRowLastColumn="0" w:lastRowFirstColumn="0" w:lastRowLastColumn="0"/>
            <w:tcW w:w="897" w:type="pct"/>
          </w:tcPr>
          <w:p w14:paraId="00D858AC" w14:textId="77777777" w:rsidR="008C6117" w:rsidRPr="009766A7" w:rsidRDefault="008C6117" w:rsidP="008C6117">
            <w:pPr>
              <w:keepNext/>
              <w:keepLines/>
              <w:rPr>
                <w:rFonts w:asciiTheme="minorHAnsi" w:hAnsiTheme="minorHAnsi" w:cstheme="minorHAnsi"/>
                <w:b w:val="0"/>
                <w:color w:val="000000"/>
              </w:rPr>
            </w:pPr>
            <w:r w:rsidRPr="009766A7">
              <w:rPr>
                <w:rFonts w:asciiTheme="minorHAnsi" w:hAnsiTheme="minorHAnsi" w:cstheme="minorHAnsi"/>
                <w:b w:val="0"/>
              </w:rPr>
              <w:t>Priority 7</w:t>
            </w:r>
          </w:p>
        </w:tc>
        <w:tc>
          <w:tcPr>
            <w:tcW w:w="1366" w:type="pct"/>
          </w:tcPr>
          <w:p w14:paraId="06CE7EED" w14:textId="77777777" w:rsidR="008C6117" w:rsidRPr="009766A7" w:rsidRDefault="008C6117" w:rsidP="008C6117">
            <w:pPr>
              <w:keepNext/>
              <w:keepLines/>
              <w:jc w:val="right"/>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rPr>
            </w:pPr>
            <w:r w:rsidRPr="009766A7">
              <w:rPr>
                <w:rFonts w:asciiTheme="minorHAnsi" w:hAnsiTheme="minorHAnsi" w:cstheme="minorHAnsi"/>
              </w:rPr>
              <w:t xml:space="preserve">0 </w:t>
            </w:r>
          </w:p>
        </w:tc>
        <w:tc>
          <w:tcPr>
            <w:tcW w:w="1368" w:type="pct"/>
          </w:tcPr>
          <w:p w14:paraId="3AE805AB" w14:textId="77777777" w:rsidR="008C6117" w:rsidRPr="009766A7" w:rsidRDefault="008C6117" w:rsidP="008C6117">
            <w:pPr>
              <w:keepNext/>
              <w:keepLines/>
              <w:jc w:val="right"/>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rPr>
            </w:pPr>
            <w:r w:rsidRPr="009766A7">
              <w:rPr>
                <w:rFonts w:asciiTheme="minorHAnsi" w:hAnsiTheme="minorHAnsi" w:cstheme="minorHAnsi"/>
              </w:rPr>
              <w:t xml:space="preserve">0 </w:t>
            </w:r>
          </w:p>
        </w:tc>
        <w:tc>
          <w:tcPr>
            <w:tcW w:w="1369" w:type="pct"/>
          </w:tcPr>
          <w:p w14:paraId="734B1497" w14:textId="77777777" w:rsidR="008C6117" w:rsidRPr="009766A7" w:rsidRDefault="008C6117" w:rsidP="008C6117">
            <w:pPr>
              <w:keepNext/>
              <w:keepLines/>
              <w:jc w:val="right"/>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rPr>
            </w:pPr>
            <w:r w:rsidRPr="009766A7">
              <w:rPr>
                <w:rFonts w:asciiTheme="minorHAnsi" w:hAnsiTheme="minorHAnsi" w:cstheme="minorHAnsi"/>
              </w:rPr>
              <w:t xml:space="preserve">0 </w:t>
            </w:r>
          </w:p>
        </w:tc>
      </w:tr>
      <w:tr w:rsidR="008C6117" w:rsidRPr="009766A7" w14:paraId="1DD1E749" w14:textId="77777777" w:rsidTr="00DE511C">
        <w:trPr>
          <w:cnfStyle w:val="000000100000" w:firstRow="0" w:lastRow="0" w:firstColumn="0" w:lastColumn="0" w:oddVBand="0" w:evenVBand="0" w:oddHBand="1" w:evenHBand="0" w:firstRowFirstColumn="0" w:firstRowLastColumn="0" w:lastRowFirstColumn="0" w:lastRowLastColumn="0"/>
          <w:trHeight w:val="40"/>
        </w:trPr>
        <w:tc>
          <w:tcPr>
            <w:cnfStyle w:val="001000000000" w:firstRow="0" w:lastRow="0" w:firstColumn="1" w:lastColumn="0" w:oddVBand="0" w:evenVBand="0" w:oddHBand="0" w:evenHBand="0" w:firstRowFirstColumn="0" w:firstRowLastColumn="0" w:lastRowFirstColumn="0" w:lastRowLastColumn="0"/>
            <w:tcW w:w="897" w:type="pct"/>
            <w:shd w:val="clear" w:color="auto" w:fill="FFDD9F"/>
          </w:tcPr>
          <w:p w14:paraId="219A36D1" w14:textId="4E2E5E0C" w:rsidR="008C6117" w:rsidRPr="009766A7" w:rsidRDefault="008C6117" w:rsidP="008C6117">
            <w:pPr>
              <w:keepNext/>
              <w:keepLines/>
              <w:rPr>
                <w:rFonts w:asciiTheme="minorHAnsi" w:hAnsiTheme="minorHAnsi" w:cstheme="minorHAnsi"/>
                <w:b w:val="0"/>
              </w:rPr>
            </w:pPr>
            <w:r w:rsidRPr="009766A7">
              <w:rPr>
                <w:rFonts w:asciiTheme="minorHAnsi" w:hAnsiTheme="minorHAnsi" w:cstheme="minorHAnsi"/>
                <w:b w:val="0"/>
              </w:rPr>
              <w:t>Priority 8</w:t>
            </w:r>
          </w:p>
        </w:tc>
        <w:tc>
          <w:tcPr>
            <w:tcW w:w="1366" w:type="pct"/>
            <w:shd w:val="clear" w:color="auto" w:fill="FFDD9F"/>
          </w:tcPr>
          <w:p w14:paraId="3435BEE7" w14:textId="77777777" w:rsidR="008C6117" w:rsidRPr="009766A7" w:rsidRDefault="008C6117" w:rsidP="008C6117">
            <w:pPr>
              <w:keepNext/>
              <w:keepLines/>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766A7">
              <w:rPr>
                <w:rFonts w:asciiTheme="minorHAnsi" w:hAnsiTheme="minorHAnsi" w:cstheme="minorHAnsi"/>
              </w:rPr>
              <w:t>0</w:t>
            </w:r>
          </w:p>
        </w:tc>
        <w:tc>
          <w:tcPr>
            <w:tcW w:w="1368" w:type="pct"/>
            <w:shd w:val="clear" w:color="auto" w:fill="FFDD9F"/>
          </w:tcPr>
          <w:p w14:paraId="0CE968A1" w14:textId="77777777" w:rsidR="008C6117" w:rsidRPr="009766A7" w:rsidRDefault="008C6117" w:rsidP="008C6117">
            <w:pPr>
              <w:keepNext/>
              <w:keepLines/>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766A7">
              <w:rPr>
                <w:rFonts w:asciiTheme="minorHAnsi" w:hAnsiTheme="minorHAnsi" w:cstheme="minorHAnsi"/>
              </w:rPr>
              <w:t>0</w:t>
            </w:r>
          </w:p>
        </w:tc>
        <w:tc>
          <w:tcPr>
            <w:tcW w:w="1369" w:type="pct"/>
            <w:shd w:val="clear" w:color="auto" w:fill="FFDD9F"/>
          </w:tcPr>
          <w:p w14:paraId="7F2DDF06" w14:textId="77777777" w:rsidR="008C6117" w:rsidRPr="009766A7" w:rsidRDefault="008C6117" w:rsidP="008C6117">
            <w:pPr>
              <w:keepNext/>
              <w:keepLines/>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766A7">
              <w:rPr>
                <w:rFonts w:asciiTheme="minorHAnsi" w:hAnsiTheme="minorHAnsi" w:cstheme="minorHAnsi"/>
              </w:rPr>
              <w:t>0</w:t>
            </w:r>
          </w:p>
        </w:tc>
      </w:tr>
      <w:tr w:rsidR="008C6117" w:rsidRPr="009766A7" w14:paraId="4CFDB166" w14:textId="77777777" w:rsidTr="00DE511C">
        <w:trPr>
          <w:trHeight w:val="40"/>
        </w:trPr>
        <w:tc>
          <w:tcPr>
            <w:cnfStyle w:val="001000000000" w:firstRow="0" w:lastRow="0" w:firstColumn="1" w:lastColumn="0" w:oddVBand="0" w:evenVBand="0" w:oddHBand="0" w:evenHBand="0" w:firstRowFirstColumn="0" w:firstRowLastColumn="0" w:lastRowFirstColumn="0" w:lastRowLastColumn="0"/>
            <w:tcW w:w="897" w:type="pct"/>
          </w:tcPr>
          <w:p w14:paraId="18A2A9F9" w14:textId="67D797A4" w:rsidR="008C6117" w:rsidRPr="009766A7" w:rsidRDefault="008C6117" w:rsidP="008C6117">
            <w:pPr>
              <w:keepNext/>
              <w:keepLines/>
              <w:rPr>
                <w:rFonts w:asciiTheme="minorHAnsi" w:hAnsiTheme="minorHAnsi" w:cstheme="minorHAnsi"/>
                <w:b w:val="0"/>
              </w:rPr>
            </w:pPr>
            <w:r w:rsidRPr="009766A7">
              <w:rPr>
                <w:rFonts w:asciiTheme="minorHAnsi" w:hAnsiTheme="minorHAnsi" w:cstheme="minorHAnsi"/>
                <w:b w:val="0"/>
              </w:rPr>
              <w:t>Total</w:t>
            </w:r>
          </w:p>
        </w:tc>
        <w:tc>
          <w:tcPr>
            <w:tcW w:w="1366" w:type="pct"/>
          </w:tcPr>
          <w:p w14:paraId="335F6FC1" w14:textId="77777777" w:rsidR="008C6117" w:rsidRPr="009766A7" w:rsidRDefault="008C6117" w:rsidP="008C6117">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66A7">
              <w:rPr>
                <w:rFonts w:asciiTheme="minorHAnsi" w:hAnsiTheme="minorHAnsi" w:cstheme="minorHAnsi"/>
              </w:rPr>
              <w:t>106,475,743</w:t>
            </w:r>
          </w:p>
        </w:tc>
        <w:tc>
          <w:tcPr>
            <w:tcW w:w="1368" w:type="pct"/>
          </w:tcPr>
          <w:p w14:paraId="6F4EFEBA" w14:textId="77777777" w:rsidR="008C6117" w:rsidRPr="009766A7" w:rsidRDefault="008C6117" w:rsidP="008C6117">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66A7">
              <w:rPr>
                <w:rFonts w:asciiTheme="minorHAnsi" w:hAnsiTheme="minorHAnsi" w:cstheme="minorHAnsi"/>
              </w:rPr>
              <w:t>752,230,292</w:t>
            </w:r>
          </w:p>
        </w:tc>
        <w:tc>
          <w:tcPr>
            <w:tcW w:w="1369" w:type="pct"/>
          </w:tcPr>
          <w:p w14:paraId="3E2282B8" w14:textId="77777777" w:rsidR="008C6117" w:rsidRPr="009766A7" w:rsidRDefault="008C6117" w:rsidP="008C6117">
            <w:pPr>
              <w:keepNext/>
              <w:keepLines/>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66A7">
              <w:rPr>
                <w:rFonts w:asciiTheme="minorHAnsi" w:hAnsiTheme="minorHAnsi" w:cstheme="minorHAnsi"/>
              </w:rPr>
              <w:t xml:space="preserve">33,427,228 </w:t>
            </w:r>
          </w:p>
        </w:tc>
      </w:tr>
    </w:tbl>
    <w:p w14:paraId="3B8B66C1" w14:textId="77777777" w:rsidR="003B42C9" w:rsidRPr="009766A7" w:rsidRDefault="003B42C9" w:rsidP="00644568">
      <w:pPr>
        <w:shd w:val="clear" w:color="auto" w:fill="F69E00"/>
        <w:rPr>
          <w:rStyle w:val="Strong"/>
          <w:rFonts w:asciiTheme="minorHAnsi" w:hAnsiTheme="minorHAnsi" w:cstheme="minorHAnsi"/>
          <w:b w:val="0"/>
        </w:rPr>
      </w:pPr>
    </w:p>
    <w:tbl>
      <w:tblPr>
        <w:tblStyle w:val="GridTable4-Accent1"/>
        <w:tblW w:w="5000" w:type="pct"/>
        <w:tblLook w:val="04A0" w:firstRow="1" w:lastRow="0" w:firstColumn="1" w:lastColumn="0" w:noHBand="0" w:noVBand="1"/>
      </w:tblPr>
      <w:tblGrid>
        <w:gridCol w:w="1313"/>
        <w:gridCol w:w="3139"/>
        <w:gridCol w:w="2083"/>
        <w:gridCol w:w="3921"/>
      </w:tblGrid>
      <w:tr w:rsidR="003B42C9" w:rsidRPr="009766A7" w14:paraId="6F380203" w14:textId="77777777" w:rsidTr="00644568">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69E00"/>
          </w:tcPr>
          <w:p w14:paraId="6DF1C5A3" w14:textId="04BA31FA" w:rsidR="003B42C9" w:rsidRPr="009766A7" w:rsidRDefault="00964100" w:rsidP="00644568">
            <w:pPr>
              <w:shd w:val="clear" w:color="auto" w:fill="F69E00"/>
              <w:jc w:val="center"/>
              <w:rPr>
                <w:rFonts w:asciiTheme="minorHAnsi" w:hAnsiTheme="minorHAnsi" w:cstheme="minorHAnsi"/>
                <w:b w:val="0"/>
              </w:rPr>
            </w:pPr>
            <w:r w:rsidRPr="009766A7">
              <w:rPr>
                <w:rFonts w:asciiTheme="minorHAnsi" w:hAnsiTheme="minorHAnsi" w:cstheme="minorHAnsi"/>
              </w:rPr>
              <w:t xml:space="preserve">Approved 2018/19 </w:t>
            </w:r>
            <w:r>
              <w:rPr>
                <w:rFonts w:asciiTheme="minorHAnsi" w:hAnsiTheme="minorHAnsi" w:cstheme="minorHAnsi"/>
              </w:rPr>
              <w:t xml:space="preserve">-2019/20 </w:t>
            </w:r>
            <w:r w:rsidRPr="009766A7">
              <w:rPr>
                <w:rFonts w:asciiTheme="minorHAnsi" w:hAnsiTheme="minorHAnsi" w:cstheme="minorHAnsi"/>
              </w:rPr>
              <w:t>funding by activity class</w:t>
            </w:r>
          </w:p>
        </w:tc>
      </w:tr>
      <w:tr w:rsidR="003B42C9" w:rsidRPr="009766A7" w14:paraId="27DCC525" w14:textId="77777777" w:rsidTr="00644568">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628" w:type="pct"/>
            <w:shd w:val="clear" w:color="auto" w:fill="FFDD9F"/>
            <w:textDirection w:val="btLr"/>
          </w:tcPr>
          <w:p w14:paraId="52B21A69" w14:textId="77777777" w:rsidR="003B42C9" w:rsidRPr="009766A7" w:rsidRDefault="003B42C9" w:rsidP="003B42C9">
            <w:pPr>
              <w:ind w:left="113" w:right="113"/>
              <w:jc w:val="center"/>
              <w:rPr>
                <w:rFonts w:asciiTheme="minorHAnsi" w:hAnsiTheme="minorHAnsi" w:cstheme="minorHAnsi"/>
              </w:rPr>
            </w:pPr>
          </w:p>
        </w:tc>
        <w:tc>
          <w:tcPr>
            <w:tcW w:w="1501" w:type="pct"/>
            <w:shd w:val="clear" w:color="auto" w:fill="FFDD9F"/>
          </w:tcPr>
          <w:p w14:paraId="15AC0896" w14:textId="77777777" w:rsidR="003B42C9" w:rsidRPr="009766A7" w:rsidRDefault="003B42C9" w:rsidP="003B42C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9766A7">
              <w:rPr>
                <w:rFonts w:asciiTheme="minorHAnsi" w:hAnsiTheme="minorHAnsi" w:cstheme="minorHAnsi"/>
                <w:b/>
              </w:rPr>
              <w:t>Investment management</w:t>
            </w:r>
          </w:p>
        </w:tc>
        <w:tc>
          <w:tcPr>
            <w:tcW w:w="996" w:type="pct"/>
            <w:shd w:val="clear" w:color="auto" w:fill="FFDD9F"/>
          </w:tcPr>
          <w:p w14:paraId="03D21F30" w14:textId="77777777" w:rsidR="003B42C9" w:rsidRPr="009766A7" w:rsidRDefault="003B42C9" w:rsidP="003B42C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9766A7">
              <w:rPr>
                <w:rFonts w:asciiTheme="minorHAnsi" w:hAnsiTheme="minorHAnsi" w:cstheme="minorHAnsi"/>
                <w:b/>
              </w:rPr>
              <w:t>Transitional rail</w:t>
            </w:r>
          </w:p>
        </w:tc>
        <w:tc>
          <w:tcPr>
            <w:tcW w:w="1875" w:type="pct"/>
            <w:shd w:val="clear" w:color="auto" w:fill="FFDD9F"/>
          </w:tcPr>
          <w:p w14:paraId="2F032CDC" w14:textId="77777777" w:rsidR="003B42C9" w:rsidRPr="009766A7" w:rsidRDefault="003B42C9" w:rsidP="003B42C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9766A7">
              <w:rPr>
                <w:rFonts w:asciiTheme="minorHAnsi" w:hAnsiTheme="minorHAnsi" w:cstheme="minorHAnsi"/>
                <w:b/>
              </w:rPr>
              <w:t>Total across all activity classes</w:t>
            </w:r>
          </w:p>
        </w:tc>
      </w:tr>
      <w:tr w:rsidR="003B42C9" w:rsidRPr="009766A7" w14:paraId="437E7829" w14:textId="77777777" w:rsidTr="003B42C9">
        <w:trPr>
          <w:trHeight w:val="40"/>
        </w:trPr>
        <w:tc>
          <w:tcPr>
            <w:cnfStyle w:val="001000000000" w:firstRow="0" w:lastRow="0" w:firstColumn="1" w:lastColumn="0" w:oddVBand="0" w:evenVBand="0" w:oddHBand="0" w:evenHBand="0" w:firstRowFirstColumn="0" w:firstRowLastColumn="0" w:lastRowFirstColumn="0" w:lastRowLastColumn="0"/>
            <w:tcW w:w="628" w:type="pct"/>
          </w:tcPr>
          <w:p w14:paraId="5B83F262" w14:textId="77777777" w:rsidR="003B42C9" w:rsidRPr="009766A7" w:rsidRDefault="003B42C9" w:rsidP="003B42C9">
            <w:pPr>
              <w:rPr>
                <w:rFonts w:asciiTheme="minorHAnsi" w:hAnsiTheme="minorHAnsi" w:cstheme="minorHAnsi"/>
                <w:b w:val="0"/>
              </w:rPr>
            </w:pPr>
            <w:r w:rsidRPr="009766A7">
              <w:rPr>
                <w:rFonts w:asciiTheme="minorHAnsi" w:hAnsiTheme="minorHAnsi" w:cstheme="minorHAnsi"/>
                <w:b w:val="0"/>
              </w:rPr>
              <w:t>Priority 1</w:t>
            </w:r>
          </w:p>
        </w:tc>
        <w:tc>
          <w:tcPr>
            <w:tcW w:w="1501" w:type="pct"/>
          </w:tcPr>
          <w:p w14:paraId="6FF6808D" w14:textId="77777777" w:rsidR="003B42C9" w:rsidRPr="009766A7" w:rsidRDefault="003B42C9" w:rsidP="008C6D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66A7">
              <w:rPr>
                <w:rFonts w:asciiTheme="minorHAnsi" w:hAnsiTheme="minorHAnsi" w:cstheme="minorHAnsi"/>
              </w:rPr>
              <w:t xml:space="preserve">6,967,738 </w:t>
            </w:r>
          </w:p>
        </w:tc>
        <w:tc>
          <w:tcPr>
            <w:tcW w:w="996" w:type="pct"/>
          </w:tcPr>
          <w:p w14:paraId="5EAE9117" w14:textId="77777777" w:rsidR="003B42C9" w:rsidRPr="009766A7" w:rsidRDefault="003B42C9" w:rsidP="008C6D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66A7">
              <w:rPr>
                <w:rFonts w:asciiTheme="minorHAnsi" w:hAnsiTheme="minorHAnsi" w:cstheme="minorHAnsi"/>
              </w:rPr>
              <w:t xml:space="preserve">193,500,000 </w:t>
            </w:r>
          </w:p>
        </w:tc>
        <w:tc>
          <w:tcPr>
            <w:tcW w:w="1875" w:type="pct"/>
          </w:tcPr>
          <w:p w14:paraId="6A010089" w14:textId="19BC898A" w:rsidR="003B42C9" w:rsidRPr="009766A7" w:rsidRDefault="00986308" w:rsidP="008C6D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66A7">
              <w:rPr>
                <w:rFonts w:asciiTheme="minorHAnsi" w:hAnsiTheme="minorHAnsi" w:cstheme="minorHAnsi"/>
              </w:rPr>
              <w:t>599,097,342</w:t>
            </w:r>
            <w:r w:rsidR="003B42C9" w:rsidRPr="009766A7">
              <w:rPr>
                <w:rFonts w:asciiTheme="minorHAnsi" w:hAnsiTheme="minorHAnsi" w:cstheme="minorHAnsi"/>
              </w:rPr>
              <w:t xml:space="preserve"> </w:t>
            </w:r>
          </w:p>
        </w:tc>
      </w:tr>
      <w:tr w:rsidR="003B42C9" w:rsidRPr="009766A7" w14:paraId="3D4F8D44" w14:textId="77777777" w:rsidTr="00644568">
        <w:trPr>
          <w:cnfStyle w:val="000000100000" w:firstRow="0" w:lastRow="0" w:firstColumn="0" w:lastColumn="0" w:oddVBand="0" w:evenVBand="0" w:oddHBand="1" w:evenHBand="0" w:firstRowFirstColumn="0" w:firstRowLastColumn="0" w:lastRowFirstColumn="0" w:lastRowLastColumn="0"/>
          <w:trHeight w:val="40"/>
        </w:trPr>
        <w:tc>
          <w:tcPr>
            <w:cnfStyle w:val="001000000000" w:firstRow="0" w:lastRow="0" w:firstColumn="1" w:lastColumn="0" w:oddVBand="0" w:evenVBand="0" w:oddHBand="0" w:evenHBand="0" w:firstRowFirstColumn="0" w:firstRowLastColumn="0" w:lastRowFirstColumn="0" w:lastRowLastColumn="0"/>
            <w:tcW w:w="628" w:type="pct"/>
            <w:shd w:val="clear" w:color="auto" w:fill="FFDD9F"/>
          </w:tcPr>
          <w:p w14:paraId="65D4A86A" w14:textId="77777777" w:rsidR="003B42C9" w:rsidRPr="009766A7" w:rsidRDefault="003B42C9" w:rsidP="003B42C9">
            <w:pPr>
              <w:rPr>
                <w:rFonts w:asciiTheme="minorHAnsi" w:hAnsiTheme="minorHAnsi" w:cstheme="minorHAnsi"/>
                <w:b w:val="0"/>
                <w:color w:val="000000"/>
              </w:rPr>
            </w:pPr>
            <w:r w:rsidRPr="009766A7">
              <w:rPr>
                <w:rFonts w:asciiTheme="minorHAnsi" w:hAnsiTheme="minorHAnsi" w:cstheme="minorHAnsi"/>
                <w:b w:val="0"/>
              </w:rPr>
              <w:t>Priority 2</w:t>
            </w:r>
          </w:p>
        </w:tc>
        <w:tc>
          <w:tcPr>
            <w:tcW w:w="1501" w:type="pct"/>
            <w:shd w:val="clear" w:color="auto" w:fill="FFDD9F"/>
          </w:tcPr>
          <w:p w14:paraId="2A4DDD73" w14:textId="77777777" w:rsidR="003B42C9" w:rsidRPr="009766A7" w:rsidRDefault="003B42C9" w:rsidP="008C6D4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9766A7">
              <w:rPr>
                <w:rFonts w:asciiTheme="minorHAnsi" w:hAnsiTheme="minorHAnsi" w:cstheme="minorHAnsi"/>
              </w:rPr>
              <w:t xml:space="preserve">131,336,500 </w:t>
            </w:r>
          </w:p>
        </w:tc>
        <w:tc>
          <w:tcPr>
            <w:tcW w:w="996" w:type="pct"/>
            <w:shd w:val="clear" w:color="auto" w:fill="FFDD9F"/>
          </w:tcPr>
          <w:p w14:paraId="083550AF" w14:textId="77777777" w:rsidR="003B42C9" w:rsidRPr="009766A7" w:rsidRDefault="003B42C9" w:rsidP="008C6D4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9766A7">
              <w:rPr>
                <w:rFonts w:asciiTheme="minorHAnsi" w:hAnsiTheme="minorHAnsi" w:cstheme="minorHAnsi"/>
              </w:rPr>
              <w:t xml:space="preserve">0 </w:t>
            </w:r>
          </w:p>
        </w:tc>
        <w:tc>
          <w:tcPr>
            <w:tcW w:w="1875" w:type="pct"/>
            <w:shd w:val="clear" w:color="auto" w:fill="FFDD9F"/>
          </w:tcPr>
          <w:p w14:paraId="0064FD21" w14:textId="77777777" w:rsidR="003B42C9" w:rsidRPr="009766A7" w:rsidRDefault="003B42C9" w:rsidP="008C6D4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9766A7">
              <w:rPr>
                <w:rFonts w:asciiTheme="minorHAnsi" w:hAnsiTheme="minorHAnsi" w:cstheme="minorHAnsi"/>
              </w:rPr>
              <w:t xml:space="preserve">323,382,172 </w:t>
            </w:r>
          </w:p>
        </w:tc>
      </w:tr>
      <w:tr w:rsidR="003B42C9" w:rsidRPr="009766A7" w14:paraId="0B5C35AE" w14:textId="77777777" w:rsidTr="003B42C9">
        <w:trPr>
          <w:trHeight w:val="40"/>
        </w:trPr>
        <w:tc>
          <w:tcPr>
            <w:cnfStyle w:val="001000000000" w:firstRow="0" w:lastRow="0" w:firstColumn="1" w:lastColumn="0" w:oddVBand="0" w:evenVBand="0" w:oddHBand="0" w:evenHBand="0" w:firstRowFirstColumn="0" w:firstRowLastColumn="0" w:lastRowFirstColumn="0" w:lastRowLastColumn="0"/>
            <w:tcW w:w="628" w:type="pct"/>
          </w:tcPr>
          <w:p w14:paraId="2FEB3EF9" w14:textId="77777777" w:rsidR="003B42C9" w:rsidRPr="009766A7" w:rsidRDefault="003B42C9" w:rsidP="003B42C9">
            <w:pPr>
              <w:rPr>
                <w:rFonts w:asciiTheme="minorHAnsi" w:hAnsiTheme="minorHAnsi" w:cstheme="minorHAnsi"/>
                <w:b w:val="0"/>
                <w:color w:val="000000"/>
              </w:rPr>
            </w:pPr>
            <w:r w:rsidRPr="009766A7">
              <w:rPr>
                <w:rFonts w:asciiTheme="minorHAnsi" w:hAnsiTheme="minorHAnsi" w:cstheme="minorHAnsi"/>
                <w:b w:val="0"/>
              </w:rPr>
              <w:t>Priority 3</w:t>
            </w:r>
          </w:p>
        </w:tc>
        <w:tc>
          <w:tcPr>
            <w:tcW w:w="1501" w:type="pct"/>
          </w:tcPr>
          <w:p w14:paraId="6EDBB371" w14:textId="77777777" w:rsidR="003B42C9" w:rsidRPr="009766A7" w:rsidRDefault="003B42C9" w:rsidP="008C6D4B">
            <w:pPr>
              <w:jc w:val="right"/>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rPr>
            </w:pPr>
            <w:r w:rsidRPr="009766A7">
              <w:rPr>
                <w:rFonts w:asciiTheme="minorHAnsi" w:hAnsiTheme="minorHAnsi" w:cstheme="minorHAnsi"/>
              </w:rPr>
              <w:t xml:space="preserve">53,147,376 </w:t>
            </w:r>
          </w:p>
        </w:tc>
        <w:tc>
          <w:tcPr>
            <w:tcW w:w="996" w:type="pct"/>
          </w:tcPr>
          <w:p w14:paraId="7D7FDFD9" w14:textId="77777777" w:rsidR="003B42C9" w:rsidRPr="009766A7" w:rsidRDefault="003B42C9" w:rsidP="008C6D4B">
            <w:pPr>
              <w:jc w:val="right"/>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rPr>
            </w:pPr>
            <w:r w:rsidRPr="009766A7">
              <w:rPr>
                <w:rFonts w:asciiTheme="minorHAnsi" w:hAnsiTheme="minorHAnsi" w:cstheme="minorHAnsi"/>
              </w:rPr>
              <w:t xml:space="preserve">0 </w:t>
            </w:r>
          </w:p>
        </w:tc>
        <w:tc>
          <w:tcPr>
            <w:tcW w:w="1875" w:type="pct"/>
          </w:tcPr>
          <w:p w14:paraId="2DBB73F4" w14:textId="77777777" w:rsidR="003B42C9" w:rsidRPr="009766A7" w:rsidRDefault="003B42C9" w:rsidP="008C6D4B">
            <w:pPr>
              <w:jc w:val="right"/>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rPr>
            </w:pPr>
            <w:r w:rsidRPr="009766A7">
              <w:rPr>
                <w:rFonts w:asciiTheme="minorHAnsi" w:hAnsiTheme="minorHAnsi" w:cstheme="minorHAnsi"/>
              </w:rPr>
              <w:t xml:space="preserve">507,206,239 </w:t>
            </w:r>
          </w:p>
        </w:tc>
      </w:tr>
      <w:tr w:rsidR="003B42C9" w:rsidRPr="009766A7" w14:paraId="374B2487" w14:textId="77777777" w:rsidTr="00644568">
        <w:trPr>
          <w:cnfStyle w:val="000000100000" w:firstRow="0" w:lastRow="0" w:firstColumn="0" w:lastColumn="0" w:oddVBand="0" w:evenVBand="0" w:oddHBand="1" w:evenHBand="0" w:firstRowFirstColumn="0" w:firstRowLastColumn="0" w:lastRowFirstColumn="0" w:lastRowLastColumn="0"/>
          <w:trHeight w:val="40"/>
        </w:trPr>
        <w:tc>
          <w:tcPr>
            <w:cnfStyle w:val="001000000000" w:firstRow="0" w:lastRow="0" w:firstColumn="1" w:lastColumn="0" w:oddVBand="0" w:evenVBand="0" w:oddHBand="0" w:evenHBand="0" w:firstRowFirstColumn="0" w:firstRowLastColumn="0" w:lastRowFirstColumn="0" w:lastRowLastColumn="0"/>
            <w:tcW w:w="628" w:type="pct"/>
            <w:shd w:val="clear" w:color="auto" w:fill="FFDD9F"/>
          </w:tcPr>
          <w:p w14:paraId="6B84061C" w14:textId="77777777" w:rsidR="003B42C9" w:rsidRPr="009766A7" w:rsidRDefault="003B42C9" w:rsidP="003B42C9">
            <w:pPr>
              <w:rPr>
                <w:rFonts w:asciiTheme="minorHAnsi" w:hAnsiTheme="minorHAnsi" w:cstheme="minorHAnsi"/>
                <w:b w:val="0"/>
                <w:color w:val="000000"/>
              </w:rPr>
            </w:pPr>
            <w:r w:rsidRPr="009766A7">
              <w:rPr>
                <w:rFonts w:asciiTheme="minorHAnsi" w:hAnsiTheme="minorHAnsi" w:cstheme="minorHAnsi"/>
                <w:b w:val="0"/>
              </w:rPr>
              <w:t>Priority 4</w:t>
            </w:r>
          </w:p>
        </w:tc>
        <w:tc>
          <w:tcPr>
            <w:tcW w:w="1501" w:type="pct"/>
            <w:shd w:val="clear" w:color="auto" w:fill="FFDD9F"/>
          </w:tcPr>
          <w:p w14:paraId="42EB5F53" w14:textId="77777777" w:rsidR="003B42C9" w:rsidRPr="009766A7" w:rsidRDefault="003B42C9" w:rsidP="008C6D4B">
            <w:pPr>
              <w:jc w:val="right"/>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rPr>
            </w:pPr>
            <w:r w:rsidRPr="009766A7">
              <w:rPr>
                <w:rFonts w:asciiTheme="minorHAnsi" w:hAnsiTheme="minorHAnsi" w:cstheme="minorHAnsi"/>
              </w:rPr>
              <w:t xml:space="preserve">2,513,127 </w:t>
            </w:r>
          </w:p>
        </w:tc>
        <w:tc>
          <w:tcPr>
            <w:tcW w:w="996" w:type="pct"/>
            <w:shd w:val="clear" w:color="auto" w:fill="FFDD9F"/>
          </w:tcPr>
          <w:p w14:paraId="5AB4D66E" w14:textId="77777777" w:rsidR="003B42C9" w:rsidRPr="009766A7" w:rsidRDefault="003B42C9" w:rsidP="008C6D4B">
            <w:pPr>
              <w:jc w:val="right"/>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rPr>
            </w:pPr>
            <w:r w:rsidRPr="009766A7">
              <w:rPr>
                <w:rFonts w:asciiTheme="minorHAnsi" w:hAnsiTheme="minorHAnsi" w:cstheme="minorHAnsi"/>
              </w:rPr>
              <w:t xml:space="preserve">2,145,484 </w:t>
            </w:r>
          </w:p>
        </w:tc>
        <w:tc>
          <w:tcPr>
            <w:tcW w:w="1875" w:type="pct"/>
            <w:shd w:val="clear" w:color="auto" w:fill="FFDD9F"/>
          </w:tcPr>
          <w:p w14:paraId="66932DA6" w14:textId="77777777" w:rsidR="003B42C9" w:rsidRPr="009766A7" w:rsidRDefault="003B42C9" w:rsidP="008C6D4B">
            <w:pPr>
              <w:jc w:val="right"/>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rPr>
            </w:pPr>
            <w:r w:rsidRPr="009766A7">
              <w:rPr>
                <w:rFonts w:asciiTheme="minorHAnsi" w:hAnsiTheme="minorHAnsi" w:cstheme="minorHAnsi"/>
              </w:rPr>
              <w:t xml:space="preserve">778,052,344 </w:t>
            </w:r>
          </w:p>
        </w:tc>
      </w:tr>
      <w:tr w:rsidR="003B42C9" w:rsidRPr="009766A7" w14:paraId="34BE7C8E" w14:textId="77777777" w:rsidTr="003B42C9">
        <w:trPr>
          <w:trHeight w:val="40"/>
        </w:trPr>
        <w:tc>
          <w:tcPr>
            <w:cnfStyle w:val="001000000000" w:firstRow="0" w:lastRow="0" w:firstColumn="1" w:lastColumn="0" w:oddVBand="0" w:evenVBand="0" w:oddHBand="0" w:evenHBand="0" w:firstRowFirstColumn="0" w:firstRowLastColumn="0" w:lastRowFirstColumn="0" w:lastRowLastColumn="0"/>
            <w:tcW w:w="628" w:type="pct"/>
          </w:tcPr>
          <w:p w14:paraId="58C5261C" w14:textId="77777777" w:rsidR="003B42C9" w:rsidRPr="009766A7" w:rsidRDefault="003B42C9" w:rsidP="003B42C9">
            <w:pPr>
              <w:rPr>
                <w:rFonts w:asciiTheme="minorHAnsi" w:hAnsiTheme="minorHAnsi" w:cstheme="minorHAnsi"/>
                <w:b w:val="0"/>
                <w:color w:val="000000"/>
              </w:rPr>
            </w:pPr>
            <w:r w:rsidRPr="009766A7">
              <w:rPr>
                <w:rFonts w:asciiTheme="minorHAnsi" w:hAnsiTheme="minorHAnsi" w:cstheme="minorHAnsi"/>
                <w:b w:val="0"/>
              </w:rPr>
              <w:t>Priority 5</w:t>
            </w:r>
          </w:p>
        </w:tc>
        <w:tc>
          <w:tcPr>
            <w:tcW w:w="1501" w:type="pct"/>
          </w:tcPr>
          <w:p w14:paraId="1E53DC90" w14:textId="77777777" w:rsidR="003B42C9" w:rsidRPr="009766A7" w:rsidRDefault="003B42C9" w:rsidP="008C6D4B">
            <w:pPr>
              <w:jc w:val="right"/>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rPr>
            </w:pPr>
            <w:r w:rsidRPr="009766A7">
              <w:rPr>
                <w:rFonts w:asciiTheme="minorHAnsi" w:hAnsiTheme="minorHAnsi" w:cstheme="minorHAnsi"/>
              </w:rPr>
              <w:t xml:space="preserve">0 </w:t>
            </w:r>
          </w:p>
        </w:tc>
        <w:tc>
          <w:tcPr>
            <w:tcW w:w="996" w:type="pct"/>
          </w:tcPr>
          <w:p w14:paraId="1241325E" w14:textId="77777777" w:rsidR="003B42C9" w:rsidRPr="009766A7" w:rsidRDefault="003B42C9" w:rsidP="008C6D4B">
            <w:pPr>
              <w:jc w:val="right"/>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rPr>
            </w:pPr>
            <w:r w:rsidRPr="009766A7">
              <w:rPr>
                <w:rFonts w:asciiTheme="minorHAnsi" w:hAnsiTheme="minorHAnsi" w:cstheme="minorHAnsi"/>
              </w:rPr>
              <w:t xml:space="preserve">36,928,949 </w:t>
            </w:r>
          </w:p>
        </w:tc>
        <w:tc>
          <w:tcPr>
            <w:tcW w:w="1875" w:type="pct"/>
          </w:tcPr>
          <w:p w14:paraId="6A360082" w14:textId="27D0E4DB" w:rsidR="003B42C9" w:rsidRPr="009766A7" w:rsidRDefault="00986308" w:rsidP="008C6D4B">
            <w:pPr>
              <w:jc w:val="right"/>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rPr>
            </w:pPr>
            <w:r w:rsidRPr="009766A7">
              <w:rPr>
                <w:rFonts w:asciiTheme="minorHAnsi" w:hAnsiTheme="minorHAnsi" w:cstheme="minorHAnsi"/>
              </w:rPr>
              <w:t>1,124,708,285</w:t>
            </w:r>
            <w:r w:rsidR="003B42C9" w:rsidRPr="009766A7">
              <w:rPr>
                <w:rFonts w:asciiTheme="minorHAnsi" w:hAnsiTheme="minorHAnsi" w:cstheme="minorHAnsi"/>
              </w:rPr>
              <w:t xml:space="preserve"> </w:t>
            </w:r>
          </w:p>
        </w:tc>
      </w:tr>
      <w:tr w:rsidR="003B42C9" w:rsidRPr="009766A7" w14:paraId="251AED70" w14:textId="77777777" w:rsidTr="00644568">
        <w:trPr>
          <w:cnfStyle w:val="000000100000" w:firstRow="0" w:lastRow="0" w:firstColumn="0" w:lastColumn="0" w:oddVBand="0" w:evenVBand="0" w:oddHBand="1" w:evenHBand="0" w:firstRowFirstColumn="0" w:firstRowLastColumn="0" w:lastRowFirstColumn="0" w:lastRowLastColumn="0"/>
          <w:trHeight w:val="40"/>
        </w:trPr>
        <w:tc>
          <w:tcPr>
            <w:cnfStyle w:val="001000000000" w:firstRow="0" w:lastRow="0" w:firstColumn="1" w:lastColumn="0" w:oddVBand="0" w:evenVBand="0" w:oddHBand="0" w:evenHBand="0" w:firstRowFirstColumn="0" w:firstRowLastColumn="0" w:lastRowFirstColumn="0" w:lastRowLastColumn="0"/>
            <w:tcW w:w="628" w:type="pct"/>
            <w:shd w:val="clear" w:color="auto" w:fill="FFDD9F"/>
          </w:tcPr>
          <w:p w14:paraId="0ABD1AB2" w14:textId="77777777" w:rsidR="003B42C9" w:rsidRPr="009766A7" w:rsidRDefault="003B42C9" w:rsidP="003B42C9">
            <w:pPr>
              <w:rPr>
                <w:rFonts w:asciiTheme="minorHAnsi" w:hAnsiTheme="minorHAnsi" w:cstheme="minorHAnsi"/>
                <w:b w:val="0"/>
                <w:color w:val="000000"/>
              </w:rPr>
            </w:pPr>
            <w:r w:rsidRPr="009766A7">
              <w:rPr>
                <w:rFonts w:asciiTheme="minorHAnsi" w:hAnsiTheme="minorHAnsi" w:cstheme="minorHAnsi"/>
                <w:b w:val="0"/>
              </w:rPr>
              <w:t>Priority 6</w:t>
            </w:r>
          </w:p>
        </w:tc>
        <w:tc>
          <w:tcPr>
            <w:tcW w:w="1501" w:type="pct"/>
            <w:shd w:val="clear" w:color="auto" w:fill="FFDD9F"/>
          </w:tcPr>
          <w:p w14:paraId="13B5E09B" w14:textId="77777777" w:rsidR="003B42C9" w:rsidRPr="009766A7" w:rsidRDefault="003B42C9" w:rsidP="008C6D4B">
            <w:pPr>
              <w:jc w:val="right"/>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rPr>
            </w:pPr>
            <w:r w:rsidRPr="009766A7">
              <w:rPr>
                <w:rFonts w:asciiTheme="minorHAnsi" w:hAnsiTheme="minorHAnsi" w:cstheme="minorHAnsi"/>
              </w:rPr>
              <w:t xml:space="preserve">0 </w:t>
            </w:r>
          </w:p>
        </w:tc>
        <w:tc>
          <w:tcPr>
            <w:tcW w:w="996" w:type="pct"/>
            <w:shd w:val="clear" w:color="auto" w:fill="FFDD9F"/>
          </w:tcPr>
          <w:p w14:paraId="437647CA" w14:textId="77777777" w:rsidR="003B42C9" w:rsidRPr="009766A7" w:rsidRDefault="003B42C9" w:rsidP="008C6D4B">
            <w:pPr>
              <w:jc w:val="right"/>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rPr>
            </w:pPr>
            <w:r w:rsidRPr="009766A7">
              <w:rPr>
                <w:rFonts w:asciiTheme="minorHAnsi" w:hAnsiTheme="minorHAnsi" w:cstheme="minorHAnsi"/>
              </w:rPr>
              <w:t xml:space="preserve">0 </w:t>
            </w:r>
          </w:p>
        </w:tc>
        <w:tc>
          <w:tcPr>
            <w:tcW w:w="1875" w:type="pct"/>
            <w:shd w:val="clear" w:color="auto" w:fill="FFDD9F"/>
          </w:tcPr>
          <w:p w14:paraId="2BACF40A" w14:textId="77777777" w:rsidR="003B42C9" w:rsidRPr="009766A7" w:rsidRDefault="003B42C9" w:rsidP="008C6D4B">
            <w:pPr>
              <w:jc w:val="right"/>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rPr>
            </w:pPr>
            <w:r w:rsidRPr="009766A7">
              <w:rPr>
                <w:rFonts w:asciiTheme="minorHAnsi" w:hAnsiTheme="minorHAnsi" w:cstheme="minorHAnsi"/>
              </w:rPr>
              <w:t xml:space="preserve">78,189,655 </w:t>
            </w:r>
          </w:p>
        </w:tc>
      </w:tr>
      <w:tr w:rsidR="003B42C9" w:rsidRPr="009766A7" w14:paraId="053F8C20" w14:textId="77777777" w:rsidTr="003B42C9">
        <w:trPr>
          <w:trHeight w:val="40"/>
        </w:trPr>
        <w:tc>
          <w:tcPr>
            <w:cnfStyle w:val="001000000000" w:firstRow="0" w:lastRow="0" w:firstColumn="1" w:lastColumn="0" w:oddVBand="0" w:evenVBand="0" w:oddHBand="0" w:evenHBand="0" w:firstRowFirstColumn="0" w:firstRowLastColumn="0" w:lastRowFirstColumn="0" w:lastRowLastColumn="0"/>
            <w:tcW w:w="628" w:type="pct"/>
          </w:tcPr>
          <w:p w14:paraId="1513B84F" w14:textId="77777777" w:rsidR="003B42C9" w:rsidRPr="009766A7" w:rsidRDefault="003B42C9" w:rsidP="003B42C9">
            <w:pPr>
              <w:rPr>
                <w:rFonts w:asciiTheme="minorHAnsi" w:hAnsiTheme="minorHAnsi" w:cstheme="minorHAnsi"/>
                <w:b w:val="0"/>
                <w:color w:val="000000"/>
              </w:rPr>
            </w:pPr>
            <w:r w:rsidRPr="009766A7">
              <w:rPr>
                <w:rFonts w:asciiTheme="minorHAnsi" w:hAnsiTheme="minorHAnsi" w:cstheme="minorHAnsi"/>
                <w:b w:val="0"/>
              </w:rPr>
              <w:t>Priority 7</w:t>
            </w:r>
          </w:p>
        </w:tc>
        <w:tc>
          <w:tcPr>
            <w:tcW w:w="1501" w:type="pct"/>
          </w:tcPr>
          <w:p w14:paraId="30926147" w14:textId="77777777" w:rsidR="003B42C9" w:rsidRPr="009766A7" w:rsidRDefault="003B42C9" w:rsidP="008C6D4B">
            <w:pPr>
              <w:jc w:val="right"/>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rPr>
            </w:pPr>
            <w:r w:rsidRPr="009766A7">
              <w:rPr>
                <w:rFonts w:asciiTheme="minorHAnsi" w:hAnsiTheme="minorHAnsi" w:cstheme="minorHAnsi"/>
              </w:rPr>
              <w:t xml:space="preserve">260,332 </w:t>
            </w:r>
          </w:p>
        </w:tc>
        <w:tc>
          <w:tcPr>
            <w:tcW w:w="996" w:type="pct"/>
          </w:tcPr>
          <w:p w14:paraId="7AAAAB91" w14:textId="77777777" w:rsidR="003B42C9" w:rsidRPr="009766A7" w:rsidRDefault="003B42C9" w:rsidP="008C6D4B">
            <w:pPr>
              <w:jc w:val="right"/>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rPr>
            </w:pPr>
            <w:r w:rsidRPr="009766A7">
              <w:rPr>
                <w:rFonts w:asciiTheme="minorHAnsi" w:hAnsiTheme="minorHAnsi" w:cstheme="minorHAnsi"/>
              </w:rPr>
              <w:t xml:space="preserve">0 </w:t>
            </w:r>
          </w:p>
        </w:tc>
        <w:tc>
          <w:tcPr>
            <w:tcW w:w="1875" w:type="pct"/>
          </w:tcPr>
          <w:p w14:paraId="0084E486" w14:textId="77777777" w:rsidR="003B42C9" w:rsidRPr="009766A7" w:rsidRDefault="003B42C9" w:rsidP="008C6D4B">
            <w:pPr>
              <w:jc w:val="right"/>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rPr>
            </w:pPr>
            <w:r w:rsidRPr="009766A7">
              <w:rPr>
                <w:rFonts w:asciiTheme="minorHAnsi" w:hAnsiTheme="minorHAnsi" w:cstheme="minorHAnsi"/>
              </w:rPr>
              <w:t xml:space="preserve">260,332 </w:t>
            </w:r>
          </w:p>
        </w:tc>
      </w:tr>
      <w:tr w:rsidR="00282AA0" w:rsidRPr="009766A7" w14:paraId="1871AE04" w14:textId="77777777" w:rsidTr="00644568">
        <w:trPr>
          <w:cnfStyle w:val="000000100000" w:firstRow="0" w:lastRow="0" w:firstColumn="0" w:lastColumn="0" w:oddVBand="0" w:evenVBand="0" w:oddHBand="1" w:evenHBand="0" w:firstRowFirstColumn="0" w:firstRowLastColumn="0" w:lastRowFirstColumn="0" w:lastRowLastColumn="0"/>
          <w:trHeight w:val="38"/>
        </w:trPr>
        <w:tc>
          <w:tcPr>
            <w:cnfStyle w:val="001000000000" w:firstRow="0" w:lastRow="0" w:firstColumn="1" w:lastColumn="0" w:oddVBand="0" w:evenVBand="0" w:oddHBand="0" w:evenHBand="0" w:firstRowFirstColumn="0" w:firstRowLastColumn="0" w:lastRowFirstColumn="0" w:lastRowLastColumn="0"/>
            <w:tcW w:w="628" w:type="pct"/>
            <w:shd w:val="clear" w:color="auto" w:fill="FFDD9F"/>
          </w:tcPr>
          <w:p w14:paraId="196BDCC5" w14:textId="7DFEE263" w:rsidR="00282AA0" w:rsidRPr="009766A7" w:rsidRDefault="00282AA0" w:rsidP="003B42C9">
            <w:pPr>
              <w:rPr>
                <w:rFonts w:asciiTheme="minorHAnsi" w:hAnsiTheme="minorHAnsi" w:cstheme="minorHAnsi"/>
                <w:b w:val="0"/>
              </w:rPr>
            </w:pPr>
            <w:r w:rsidRPr="009766A7">
              <w:rPr>
                <w:rFonts w:asciiTheme="minorHAnsi" w:hAnsiTheme="minorHAnsi" w:cstheme="minorHAnsi"/>
                <w:b w:val="0"/>
              </w:rPr>
              <w:t xml:space="preserve">Priority 8 </w:t>
            </w:r>
          </w:p>
        </w:tc>
        <w:tc>
          <w:tcPr>
            <w:tcW w:w="1501" w:type="pct"/>
            <w:shd w:val="clear" w:color="auto" w:fill="FFDD9F"/>
          </w:tcPr>
          <w:p w14:paraId="5A011F92" w14:textId="363FFB2F" w:rsidR="00282AA0" w:rsidRPr="009766A7" w:rsidRDefault="00282AA0" w:rsidP="008C6D4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766A7">
              <w:rPr>
                <w:rFonts w:asciiTheme="minorHAnsi" w:hAnsiTheme="minorHAnsi" w:cstheme="minorHAnsi"/>
              </w:rPr>
              <w:t>0</w:t>
            </w:r>
          </w:p>
        </w:tc>
        <w:tc>
          <w:tcPr>
            <w:tcW w:w="996" w:type="pct"/>
            <w:shd w:val="clear" w:color="auto" w:fill="FFDD9F"/>
          </w:tcPr>
          <w:p w14:paraId="7825121B" w14:textId="4F94006E" w:rsidR="00282AA0" w:rsidRPr="009766A7" w:rsidRDefault="00282AA0" w:rsidP="008C6D4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9766A7">
              <w:rPr>
                <w:rFonts w:asciiTheme="minorHAnsi" w:hAnsiTheme="minorHAnsi" w:cstheme="minorHAnsi"/>
                <w:color w:val="000000"/>
              </w:rPr>
              <w:t>0</w:t>
            </w:r>
          </w:p>
        </w:tc>
        <w:tc>
          <w:tcPr>
            <w:tcW w:w="1875" w:type="pct"/>
            <w:shd w:val="clear" w:color="auto" w:fill="FFDD9F"/>
          </w:tcPr>
          <w:p w14:paraId="41348F7E" w14:textId="7BE16B4D" w:rsidR="00282AA0" w:rsidRPr="009766A7" w:rsidDel="00986308" w:rsidRDefault="00282AA0" w:rsidP="008C6D4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766A7">
              <w:rPr>
                <w:rFonts w:asciiTheme="minorHAnsi" w:hAnsiTheme="minorHAnsi" w:cstheme="minorHAnsi"/>
              </w:rPr>
              <w:t>0</w:t>
            </w:r>
          </w:p>
        </w:tc>
      </w:tr>
      <w:tr w:rsidR="003B42C9" w:rsidRPr="009766A7" w14:paraId="186AB527" w14:textId="77777777" w:rsidTr="00644568">
        <w:trPr>
          <w:trHeight w:val="38"/>
        </w:trPr>
        <w:tc>
          <w:tcPr>
            <w:cnfStyle w:val="001000000000" w:firstRow="0" w:lastRow="0" w:firstColumn="1" w:lastColumn="0" w:oddVBand="0" w:evenVBand="0" w:oddHBand="0" w:evenHBand="0" w:firstRowFirstColumn="0" w:firstRowLastColumn="0" w:lastRowFirstColumn="0" w:lastRowLastColumn="0"/>
            <w:tcW w:w="628" w:type="pct"/>
            <w:shd w:val="clear" w:color="auto" w:fill="FFDD9F"/>
          </w:tcPr>
          <w:p w14:paraId="71EF57E1" w14:textId="77777777" w:rsidR="003B42C9" w:rsidRPr="009766A7" w:rsidRDefault="003B42C9" w:rsidP="003B42C9">
            <w:pPr>
              <w:rPr>
                <w:rFonts w:asciiTheme="minorHAnsi" w:hAnsiTheme="minorHAnsi" w:cstheme="minorHAnsi"/>
                <w:b w:val="0"/>
              </w:rPr>
            </w:pPr>
            <w:r w:rsidRPr="009766A7">
              <w:rPr>
                <w:rFonts w:asciiTheme="minorHAnsi" w:hAnsiTheme="minorHAnsi" w:cstheme="minorHAnsi"/>
                <w:b w:val="0"/>
              </w:rPr>
              <w:t>Total</w:t>
            </w:r>
          </w:p>
        </w:tc>
        <w:tc>
          <w:tcPr>
            <w:tcW w:w="1501" w:type="pct"/>
            <w:shd w:val="clear" w:color="auto" w:fill="FFDD9F"/>
          </w:tcPr>
          <w:p w14:paraId="060B372E" w14:textId="77777777" w:rsidR="003B42C9" w:rsidRPr="009766A7" w:rsidRDefault="003B42C9" w:rsidP="008C6D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66A7">
              <w:rPr>
                <w:rFonts w:asciiTheme="minorHAnsi" w:hAnsiTheme="minorHAnsi" w:cstheme="minorHAnsi"/>
              </w:rPr>
              <w:t>194,225,073</w:t>
            </w:r>
          </w:p>
        </w:tc>
        <w:tc>
          <w:tcPr>
            <w:tcW w:w="996" w:type="pct"/>
            <w:shd w:val="clear" w:color="auto" w:fill="FFDD9F"/>
          </w:tcPr>
          <w:p w14:paraId="77508B3E" w14:textId="77777777" w:rsidR="003B42C9" w:rsidRPr="009766A7" w:rsidRDefault="003B42C9" w:rsidP="008C6D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66A7">
              <w:rPr>
                <w:rFonts w:asciiTheme="minorHAnsi" w:hAnsiTheme="minorHAnsi" w:cstheme="minorHAnsi"/>
                <w:color w:val="000000"/>
              </w:rPr>
              <w:t>232,574,433</w:t>
            </w:r>
          </w:p>
        </w:tc>
        <w:tc>
          <w:tcPr>
            <w:tcW w:w="1875" w:type="pct"/>
            <w:shd w:val="clear" w:color="auto" w:fill="FFDD9F"/>
          </w:tcPr>
          <w:p w14:paraId="67FAB7D1" w14:textId="03133174" w:rsidR="003B42C9" w:rsidRPr="009766A7" w:rsidRDefault="00986308" w:rsidP="008C6D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66A7">
              <w:rPr>
                <w:rFonts w:asciiTheme="minorHAnsi" w:hAnsiTheme="minorHAnsi" w:cstheme="minorHAnsi"/>
              </w:rPr>
              <w:t>3,410,896,369</w:t>
            </w:r>
          </w:p>
        </w:tc>
      </w:tr>
    </w:tbl>
    <w:p w14:paraId="4DD1BC36" w14:textId="3F821046" w:rsidR="006905E1" w:rsidRPr="00274E4D" w:rsidRDefault="006905E1" w:rsidP="003B42C9">
      <w:pPr>
        <w:keepNext/>
        <w:rPr>
          <w:rStyle w:val="Strong"/>
          <w:b w:val="0"/>
          <w:bCs w:val="0"/>
          <w:i/>
          <w:color w:val="auto"/>
          <w:sz w:val="18"/>
          <w:szCs w:val="18"/>
        </w:rPr>
      </w:pPr>
    </w:p>
    <w:p w14:paraId="33BB9BC6" w14:textId="77777777" w:rsidR="003B42C9" w:rsidRPr="00644568" w:rsidRDefault="003B42C9" w:rsidP="003B42C9">
      <w:pPr>
        <w:keepNext/>
        <w:rPr>
          <w:rStyle w:val="Strong"/>
          <w:rFonts w:asciiTheme="minorHAnsi" w:hAnsiTheme="minorHAnsi" w:cstheme="minorHAnsi"/>
          <w:color w:val="F69E00"/>
          <w:sz w:val="24"/>
        </w:rPr>
      </w:pPr>
      <w:r w:rsidRPr="00644568">
        <w:rPr>
          <w:rStyle w:val="Strong"/>
          <w:rFonts w:asciiTheme="minorHAnsi" w:hAnsiTheme="minorHAnsi" w:cstheme="minorHAnsi"/>
          <w:color w:val="F69E00"/>
          <w:sz w:val="24"/>
        </w:rPr>
        <w:t>Investment in activities with a BCR of less than one</w:t>
      </w:r>
    </w:p>
    <w:p w14:paraId="3F53C45C" w14:textId="77777777" w:rsidR="008D1A97" w:rsidRPr="008D1A97" w:rsidRDefault="008D1A97" w:rsidP="008D1A97">
      <w:pPr>
        <w:rPr>
          <w:rStyle w:val="Strong"/>
          <w:b w:val="0"/>
        </w:rPr>
      </w:pPr>
      <w:r w:rsidRPr="008D1A97">
        <w:rPr>
          <w:rStyle w:val="Strong"/>
          <w:b w:val="0"/>
        </w:rPr>
        <w:t xml:space="preserve">The GPS 2018 (p. 22) states that </w:t>
      </w:r>
      <w:r w:rsidRPr="008D1A97">
        <w:rPr>
          <w:rStyle w:val="Strong"/>
          <w:b w:val="0"/>
          <w:i/>
        </w:rPr>
        <w:t>“in delivering value for money, investment decisions need to transparently demonstrate the… reason for the decisions, especially where there is a benefit cost ratio lower than would normally be required for inclusion in the National Land Transport Programme (NLTP)”</w:t>
      </w:r>
      <w:r w:rsidRPr="008D1A97">
        <w:rPr>
          <w:rStyle w:val="Strong"/>
          <w:b w:val="0"/>
        </w:rPr>
        <w:t>.</w:t>
      </w:r>
    </w:p>
    <w:p w14:paraId="0BA0D790" w14:textId="259A3A80" w:rsidR="003B42C9" w:rsidRPr="00644568" w:rsidRDefault="003B42C9" w:rsidP="003B42C9">
      <w:pPr>
        <w:rPr>
          <w:rStyle w:val="Strong"/>
          <w:b w:val="0"/>
        </w:rPr>
      </w:pPr>
      <w:r w:rsidRPr="00644568">
        <w:rPr>
          <w:rStyle w:val="Strong"/>
          <w:b w:val="0"/>
        </w:rPr>
        <w:t xml:space="preserve">In 2019/20, </w:t>
      </w:r>
      <w:r w:rsidR="00644568">
        <w:rPr>
          <w:rStyle w:val="Strong"/>
          <w:b w:val="0"/>
        </w:rPr>
        <w:t>one</w:t>
      </w:r>
      <w:r w:rsidRPr="00644568">
        <w:rPr>
          <w:rStyle w:val="Strong"/>
          <w:b w:val="0"/>
        </w:rPr>
        <w:t xml:space="preserve"> project with a BCR of less than one was approved. Investment in this activity was approved due to </w:t>
      </w:r>
      <w:r w:rsidR="00644568">
        <w:rPr>
          <w:rStyle w:val="Strong"/>
          <w:b w:val="0"/>
        </w:rPr>
        <w:t>high results alignment</w:t>
      </w:r>
      <w:r w:rsidR="00345EE7">
        <w:rPr>
          <w:rStyle w:val="Strong"/>
          <w:b w:val="0"/>
        </w:rPr>
        <w:t xml:space="preserve"> to GPS outcomes</w:t>
      </w:r>
      <w:r w:rsidR="00644568">
        <w:rPr>
          <w:rStyle w:val="Strong"/>
          <w:b w:val="0"/>
        </w:rPr>
        <w:t xml:space="preserve">. </w:t>
      </w:r>
    </w:p>
    <w:tbl>
      <w:tblPr>
        <w:tblStyle w:val="GridTable4-Accent1"/>
        <w:tblW w:w="5000" w:type="pct"/>
        <w:tblLook w:val="04A0" w:firstRow="1" w:lastRow="0" w:firstColumn="1" w:lastColumn="0" w:noHBand="0" w:noVBand="1"/>
      </w:tblPr>
      <w:tblGrid>
        <w:gridCol w:w="5067"/>
        <w:gridCol w:w="1585"/>
        <w:gridCol w:w="3804"/>
      </w:tblGrid>
      <w:tr w:rsidR="003B42C9" w:rsidRPr="00BA0BD0" w14:paraId="41A35EE0" w14:textId="77777777" w:rsidTr="00644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3" w:type="pct"/>
            <w:shd w:val="clear" w:color="auto" w:fill="F69E00"/>
          </w:tcPr>
          <w:p w14:paraId="347A767F" w14:textId="77777777" w:rsidR="003B42C9" w:rsidRPr="00BA0BD0" w:rsidRDefault="003B42C9" w:rsidP="003B42C9">
            <w:pPr>
              <w:keepNext/>
              <w:keepLines/>
              <w:spacing w:before="40" w:after="40"/>
            </w:pPr>
            <w:r w:rsidRPr="00BA0BD0">
              <w:lastRenderedPageBreak/>
              <w:t>Project name</w:t>
            </w:r>
          </w:p>
        </w:tc>
        <w:tc>
          <w:tcPr>
            <w:tcW w:w="758" w:type="pct"/>
            <w:shd w:val="clear" w:color="auto" w:fill="F69E00"/>
          </w:tcPr>
          <w:p w14:paraId="5920AF0A" w14:textId="77777777" w:rsidR="003B42C9" w:rsidRPr="00BA0BD0" w:rsidRDefault="003B42C9" w:rsidP="003B42C9">
            <w:pPr>
              <w:keepNext/>
              <w:keepLines/>
              <w:spacing w:before="40" w:after="40"/>
              <w:cnfStyle w:val="100000000000" w:firstRow="1" w:lastRow="0" w:firstColumn="0" w:lastColumn="0" w:oddVBand="0" w:evenVBand="0" w:oddHBand="0" w:evenHBand="0" w:firstRowFirstColumn="0" w:firstRowLastColumn="0" w:lastRowFirstColumn="0" w:lastRowLastColumn="0"/>
            </w:pPr>
            <w:r w:rsidRPr="00BA0BD0">
              <w:t>$ investment</w:t>
            </w:r>
          </w:p>
        </w:tc>
        <w:tc>
          <w:tcPr>
            <w:tcW w:w="1819" w:type="pct"/>
            <w:shd w:val="clear" w:color="auto" w:fill="F69E00"/>
          </w:tcPr>
          <w:p w14:paraId="55E808B8" w14:textId="77777777" w:rsidR="003B42C9" w:rsidRPr="00BA0BD0" w:rsidRDefault="003B42C9" w:rsidP="003B42C9">
            <w:pPr>
              <w:keepNext/>
              <w:keepLines/>
              <w:spacing w:before="40" w:after="40"/>
              <w:cnfStyle w:val="100000000000" w:firstRow="1" w:lastRow="0" w:firstColumn="0" w:lastColumn="0" w:oddVBand="0" w:evenVBand="0" w:oddHBand="0" w:evenHBand="0" w:firstRowFirstColumn="0" w:firstRowLastColumn="0" w:lastRowFirstColumn="0" w:lastRowLastColumn="0"/>
            </w:pPr>
            <w:r w:rsidRPr="00BA0BD0">
              <w:t>Reason for BCR&lt;1</w:t>
            </w:r>
          </w:p>
        </w:tc>
      </w:tr>
      <w:tr w:rsidR="003B42C9" w:rsidRPr="00BA0BD0" w14:paraId="66510E26" w14:textId="77777777" w:rsidTr="00644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3" w:type="pct"/>
            <w:shd w:val="clear" w:color="auto" w:fill="FFDD9F"/>
          </w:tcPr>
          <w:p w14:paraId="337B7DA9" w14:textId="77777777" w:rsidR="003B42C9" w:rsidRPr="00BA0BD0" w:rsidRDefault="003B42C9" w:rsidP="003B42C9">
            <w:pPr>
              <w:rPr>
                <w:b w:val="0"/>
                <w:sz w:val="20"/>
              </w:rPr>
            </w:pPr>
            <w:r w:rsidRPr="00BA0BD0">
              <w:rPr>
                <w:b w:val="0"/>
                <w:sz w:val="20"/>
              </w:rPr>
              <w:t>Hamilton to Auckland Trial Rail Service, including:</w:t>
            </w:r>
          </w:p>
          <w:p w14:paraId="23907E69" w14:textId="77777777" w:rsidR="003B42C9" w:rsidRPr="00BA0BD0" w:rsidRDefault="003B42C9" w:rsidP="003B42C9">
            <w:pPr>
              <w:pStyle w:val="ListParagraph"/>
              <w:widowControl w:val="0"/>
              <w:numPr>
                <w:ilvl w:val="0"/>
                <w:numId w:val="9"/>
              </w:numPr>
              <w:autoSpaceDE w:val="0"/>
              <w:autoSpaceDN w:val="0"/>
              <w:spacing w:before="18"/>
              <w:contextualSpacing w:val="0"/>
              <w:rPr>
                <w:b w:val="0"/>
                <w:sz w:val="20"/>
              </w:rPr>
            </w:pPr>
            <w:r w:rsidRPr="00BA0BD0">
              <w:rPr>
                <w:b w:val="0"/>
                <w:sz w:val="20"/>
              </w:rPr>
              <w:t>Huntly Station (Start Up Rail Service)</w:t>
            </w:r>
          </w:p>
          <w:p w14:paraId="794E3697" w14:textId="77777777" w:rsidR="003B42C9" w:rsidRPr="00BA0BD0" w:rsidRDefault="003B42C9" w:rsidP="003B42C9">
            <w:pPr>
              <w:pStyle w:val="ListParagraph"/>
              <w:widowControl w:val="0"/>
              <w:numPr>
                <w:ilvl w:val="0"/>
                <w:numId w:val="9"/>
              </w:numPr>
              <w:autoSpaceDE w:val="0"/>
              <w:autoSpaceDN w:val="0"/>
              <w:spacing w:before="18"/>
              <w:contextualSpacing w:val="0"/>
              <w:rPr>
                <w:b w:val="0"/>
                <w:sz w:val="20"/>
              </w:rPr>
            </w:pPr>
            <w:r w:rsidRPr="00BA0BD0">
              <w:rPr>
                <w:b w:val="0"/>
                <w:sz w:val="20"/>
              </w:rPr>
              <w:t xml:space="preserve">Operational phase of start-up passenger rail service </w:t>
            </w:r>
          </w:p>
          <w:p w14:paraId="489144C1" w14:textId="77777777" w:rsidR="003B42C9" w:rsidRPr="00BA0BD0" w:rsidRDefault="003B42C9" w:rsidP="003B42C9">
            <w:pPr>
              <w:pStyle w:val="ListParagraph"/>
              <w:widowControl w:val="0"/>
              <w:numPr>
                <w:ilvl w:val="0"/>
                <w:numId w:val="9"/>
              </w:numPr>
              <w:autoSpaceDE w:val="0"/>
              <w:autoSpaceDN w:val="0"/>
              <w:spacing w:before="18"/>
              <w:contextualSpacing w:val="0"/>
              <w:rPr>
                <w:b w:val="0"/>
                <w:sz w:val="20"/>
              </w:rPr>
            </w:pPr>
            <w:r w:rsidRPr="00BA0BD0">
              <w:rPr>
                <w:b w:val="0"/>
                <w:sz w:val="20"/>
              </w:rPr>
              <w:t>Capital phase of start-up passenger rail service</w:t>
            </w:r>
          </w:p>
          <w:p w14:paraId="08076A5F" w14:textId="77777777" w:rsidR="003B42C9" w:rsidRPr="00BA0BD0" w:rsidRDefault="003B42C9" w:rsidP="003B42C9">
            <w:pPr>
              <w:pStyle w:val="ListParagraph"/>
              <w:widowControl w:val="0"/>
              <w:numPr>
                <w:ilvl w:val="0"/>
                <w:numId w:val="9"/>
              </w:numPr>
              <w:autoSpaceDE w:val="0"/>
              <w:autoSpaceDN w:val="0"/>
              <w:spacing w:before="18"/>
              <w:contextualSpacing w:val="0"/>
              <w:rPr>
                <w:b w:val="0"/>
                <w:sz w:val="20"/>
              </w:rPr>
            </w:pPr>
            <w:r w:rsidRPr="00BA0BD0">
              <w:rPr>
                <w:b w:val="0"/>
                <w:sz w:val="20"/>
              </w:rPr>
              <w:t>Rolling stock refurbishment and maintenance facility</w:t>
            </w:r>
          </w:p>
          <w:p w14:paraId="1F887237" w14:textId="77777777" w:rsidR="003B42C9" w:rsidRPr="00BA0BD0" w:rsidRDefault="003B42C9" w:rsidP="003B42C9">
            <w:pPr>
              <w:pStyle w:val="ListParagraph"/>
              <w:keepNext/>
              <w:keepLines/>
              <w:numPr>
                <w:ilvl w:val="0"/>
                <w:numId w:val="6"/>
              </w:numPr>
              <w:spacing w:before="40" w:after="40"/>
              <w:rPr>
                <w:color w:val="000000"/>
              </w:rPr>
            </w:pPr>
            <w:r w:rsidRPr="00BA0BD0">
              <w:rPr>
                <w:b w:val="0"/>
                <w:sz w:val="20"/>
              </w:rPr>
              <w:t>Base Station (Start Up Rail Service)</w:t>
            </w:r>
          </w:p>
        </w:tc>
        <w:tc>
          <w:tcPr>
            <w:tcW w:w="758" w:type="pct"/>
            <w:shd w:val="clear" w:color="auto" w:fill="FFDD9F"/>
          </w:tcPr>
          <w:p w14:paraId="50926831" w14:textId="0D75E8C7" w:rsidR="003B42C9" w:rsidRPr="00BA0BD0" w:rsidRDefault="003B42C9" w:rsidP="003B42C9">
            <w:pPr>
              <w:keepNext/>
              <w:keepLines/>
              <w:spacing w:before="40" w:after="40"/>
              <w:cnfStyle w:val="000000100000" w:firstRow="0" w:lastRow="0" w:firstColumn="0" w:lastColumn="0" w:oddVBand="0" w:evenVBand="0" w:oddHBand="1" w:evenHBand="0" w:firstRowFirstColumn="0" w:firstRowLastColumn="0" w:lastRowFirstColumn="0" w:lastRowLastColumn="0"/>
              <w:rPr>
                <w:color w:val="000000"/>
              </w:rPr>
            </w:pPr>
            <w:r w:rsidRPr="00BA0BD0">
              <w:rPr>
                <w:sz w:val="20"/>
              </w:rPr>
              <w:t>$</w:t>
            </w:r>
            <w:r w:rsidR="007F5516">
              <w:rPr>
                <w:sz w:val="20"/>
              </w:rPr>
              <w:t>23,909,019</w:t>
            </w:r>
            <w:r w:rsidRPr="00BA0BD0">
              <w:rPr>
                <w:iCs/>
                <w:sz w:val="20"/>
                <w:szCs w:val="20"/>
                <w:vertAlign w:val="superscript"/>
              </w:rPr>
              <w:t>†</w:t>
            </w:r>
          </w:p>
        </w:tc>
        <w:tc>
          <w:tcPr>
            <w:tcW w:w="1819" w:type="pct"/>
            <w:shd w:val="clear" w:color="auto" w:fill="FFDD9F"/>
          </w:tcPr>
          <w:p w14:paraId="1BB41331" w14:textId="77777777" w:rsidR="003B42C9" w:rsidRPr="00BA0BD0" w:rsidRDefault="003B42C9" w:rsidP="003B42C9">
            <w:pPr>
              <w:keepNext/>
              <w:keepLines/>
              <w:spacing w:before="40" w:after="40"/>
              <w:cnfStyle w:val="000000100000" w:firstRow="0" w:lastRow="0" w:firstColumn="0" w:lastColumn="0" w:oddVBand="0" w:evenVBand="0" w:oddHBand="1" w:evenHBand="0" w:firstRowFirstColumn="0" w:firstRowLastColumn="0" w:lastRowFirstColumn="0" w:lastRowLastColumn="0"/>
              <w:rPr>
                <w:color w:val="000000"/>
              </w:rPr>
            </w:pPr>
            <w:r w:rsidRPr="00BA0BD0">
              <w:rPr>
                <w:sz w:val="20"/>
              </w:rPr>
              <w:t xml:space="preserve">Waka Kotahi continued to invest in the Hamilton to Auckland Trial Rail Service this year due to high results alignment. A successful trial would give impetus to wider corridor spatial planning “unlocking” significant additional benefits. </w:t>
            </w:r>
          </w:p>
        </w:tc>
      </w:tr>
    </w:tbl>
    <w:p w14:paraId="4E98AF5B" w14:textId="3EC2E58F" w:rsidR="003B42C9" w:rsidRPr="00BA0BD0" w:rsidRDefault="00345EE7" w:rsidP="003B42C9">
      <w:pPr>
        <w:rPr>
          <w:rStyle w:val="Strong"/>
          <w:b w:val="0"/>
          <w:bCs w:val="0"/>
          <w:i/>
          <w:sz w:val="18"/>
          <w:szCs w:val="18"/>
        </w:rPr>
      </w:pPr>
      <w:r w:rsidRPr="009F6677">
        <w:rPr>
          <w:rFonts w:eastAsiaTheme="majorEastAsia"/>
          <w:noProof/>
          <w:color w:val="2E74B5" w:themeColor="accent1" w:themeShade="BF"/>
          <w:sz w:val="32"/>
          <w:szCs w:val="32"/>
          <w:lang w:eastAsia="en-NZ"/>
        </w:rPr>
        <mc:AlternateContent>
          <mc:Choice Requires="wps">
            <w:drawing>
              <wp:anchor distT="0" distB="0" distL="114300" distR="114300" simplePos="0" relativeHeight="251704320" behindDoc="1" locked="0" layoutInCell="1" allowOverlap="1" wp14:anchorId="1A65215C" wp14:editId="6118389A">
                <wp:simplePos x="0" y="0"/>
                <wp:positionH relativeFrom="margin">
                  <wp:align>left</wp:align>
                </wp:positionH>
                <wp:positionV relativeFrom="paragraph">
                  <wp:posOffset>198783</wp:posOffset>
                </wp:positionV>
                <wp:extent cx="6636385" cy="896620"/>
                <wp:effectExtent l="0" t="0" r="12065" b="17780"/>
                <wp:wrapTight wrapText="bothSides">
                  <wp:wrapPolygon edited="0">
                    <wp:start x="0" y="0"/>
                    <wp:lineTo x="0" y="21569"/>
                    <wp:lineTo x="21577" y="21569"/>
                    <wp:lineTo x="21577"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6385" cy="896620"/>
                        </a:xfrm>
                        <a:prstGeom prst="rect">
                          <a:avLst/>
                        </a:prstGeom>
                        <a:solidFill>
                          <a:schemeClr val="bg2">
                            <a:lumMod val="90000"/>
                          </a:schemeClr>
                        </a:solidFill>
                        <a:ln w="9525">
                          <a:solidFill>
                            <a:schemeClr val="tx1"/>
                          </a:solidFill>
                          <a:miter lim="800000"/>
                          <a:headEnd/>
                          <a:tailEnd/>
                        </a:ln>
                      </wps:spPr>
                      <wps:txbx>
                        <w:txbxContent>
                          <w:p w14:paraId="3272945E" w14:textId="5A290FBE" w:rsidR="00BC0FB3" w:rsidRPr="009F6677" w:rsidRDefault="00BC0FB3" w:rsidP="009F6677">
                            <w:pPr>
                              <w:rPr>
                                <w:rFonts w:asciiTheme="minorHAnsi" w:hAnsiTheme="minorHAnsi"/>
                                <w:sz w:val="18"/>
                              </w:rPr>
                            </w:pPr>
                            <w:r>
                              <w:rPr>
                                <w:rFonts w:asciiTheme="minorHAnsi" w:hAnsiTheme="minorHAnsi"/>
                                <w:i/>
                                <w:sz w:val="16"/>
                                <w:szCs w:val="18"/>
                              </w:rPr>
                              <w:t xml:space="preserve">Data source: </w:t>
                            </w:r>
                            <w:r w:rsidRPr="00235966">
                              <w:rPr>
                                <w:rFonts w:asciiTheme="minorHAnsi" w:hAnsiTheme="minorHAnsi"/>
                                <w:iCs/>
                                <w:sz w:val="16"/>
                                <w:szCs w:val="18"/>
                              </w:rPr>
                              <w:t>Waka Kotahi. This</w:t>
                            </w:r>
                            <w:r w:rsidRPr="009F6677">
                              <w:rPr>
                                <w:rFonts w:asciiTheme="minorHAnsi" w:hAnsiTheme="minorHAnsi"/>
                                <w:iCs/>
                                <w:sz w:val="16"/>
                                <w:szCs w:val="18"/>
                              </w:rPr>
                              <w:t xml:space="preserve"> does not include investment in activities where BCRs are not required such as </w:t>
                            </w:r>
                            <w:r>
                              <w:rPr>
                                <w:rFonts w:asciiTheme="minorHAnsi" w:hAnsiTheme="minorHAnsi"/>
                                <w:iCs/>
                                <w:sz w:val="16"/>
                                <w:szCs w:val="18"/>
                              </w:rPr>
                              <w:t>continuous programmes and low cost - low risk programmes. This also excludes: Crown-funded or partially NLTF funded projects with BCR&lt;1 such as certain projects funded by the PGF; and activities with a BCR&lt;1 that form part of a programme with a BCR&gt;1 (for example, some standard safety interventions such as roundabouts can have a BCR&lt;1 but related to a programme with a BCR&gt;1).</w:t>
                            </w:r>
                            <w:r>
                              <w:rPr>
                                <w:rFonts w:asciiTheme="minorHAnsi" w:hAnsiTheme="minorHAnsi"/>
                                <w:i/>
                                <w:sz w:val="16"/>
                                <w:szCs w:val="18"/>
                              </w:rPr>
                              <w:br/>
                            </w:r>
                            <w:r w:rsidRPr="009F6677">
                              <w:rPr>
                                <w:rFonts w:asciiTheme="minorHAnsi" w:hAnsiTheme="minorHAnsi"/>
                                <w:iCs/>
                                <w:sz w:val="16"/>
                                <w:szCs w:val="18"/>
                              </w:rPr>
                              <w:t>† Total approval in 2018/19 was incorrectly reported and should have been $18,093,406.</w:t>
                            </w:r>
                          </w:p>
                        </w:txbxContent>
                      </wps:txbx>
                      <wps:bodyPr rot="0" vert="horz" wrap="square" lIns="91440" tIns="45720" rIns="91440" bIns="45720" anchor="t" anchorCtr="0">
                        <a:noAutofit/>
                      </wps:bodyPr>
                    </wps:wsp>
                  </a:graphicData>
                </a:graphic>
              </wp:anchor>
            </w:drawing>
          </mc:Choice>
          <mc:Fallback>
            <w:pict>
              <v:shape w14:anchorId="1A65215C" id="_x0000_s1033" type="#_x0000_t202" style="position:absolute;margin-left:0;margin-top:15.65pt;width:522.55pt;height:70.6pt;z-index:-2516121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" fillcolor="#cfcdcd [2894]" strokecolor="black [3213]">
                <v:textbox>
                  <w:txbxContent>
                    <w:p w14:paraId="3272945E" w14:textId="5A290FBE" w:rsidR="00BC0FB3" w:rsidRPr="009F6677" w:rsidRDefault="00BC0FB3" w:rsidP="009F6677">
                      <w:pPr>
                        <w:rPr>
                          <w:rFonts w:asciiTheme="minorHAnsi" w:hAnsiTheme="minorHAnsi"/>
                          <w:sz w:val="18"/>
                        </w:rPr>
                      </w:pPr>
                      <w:r>
                        <w:rPr>
                          <w:rFonts w:asciiTheme="minorHAnsi" w:hAnsiTheme="minorHAnsi"/>
                          <w:i/>
                          <w:sz w:val="16"/>
                          <w:szCs w:val="18"/>
                        </w:rPr>
                        <w:t xml:space="preserve">Data source: </w:t>
                      </w:r>
                      <w:r w:rsidRPr="00235966">
                        <w:rPr>
                          <w:rFonts w:asciiTheme="minorHAnsi" w:hAnsiTheme="minorHAnsi"/>
                          <w:iCs/>
                          <w:sz w:val="16"/>
                          <w:szCs w:val="18"/>
                        </w:rPr>
                        <w:t>Waka Kotahi. This</w:t>
                      </w:r>
                      <w:r w:rsidRPr="009F6677">
                        <w:rPr>
                          <w:rFonts w:asciiTheme="minorHAnsi" w:hAnsiTheme="minorHAnsi"/>
                          <w:iCs/>
                          <w:sz w:val="16"/>
                          <w:szCs w:val="18"/>
                        </w:rPr>
                        <w:t xml:space="preserve"> does not include investment in activities where BCRs are not required such as </w:t>
                      </w:r>
                      <w:r>
                        <w:rPr>
                          <w:rFonts w:asciiTheme="minorHAnsi" w:hAnsiTheme="minorHAnsi"/>
                          <w:iCs/>
                          <w:sz w:val="16"/>
                          <w:szCs w:val="18"/>
                        </w:rPr>
                        <w:t>continuous programmes and low cost - low risk programmes. This also excludes: Crown-funded or partially NLTF funded projects with BCR&lt;1 such as certain projects funded by the PGF; and activities with a BCR&lt;1 that form part of a programme with a BCR&gt;1 (for example, some standard safety interventions such as roundabouts can have a BCR&lt;1 but related to a programme with a BCR&gt;1).</w:t>
                      </w:r>
                      <w:r>
                        <w:rPr>
                          <w:rFonts w:asciiTheme="minorHAnsi" w:hAnsiTheme="minorHAnsi"/>
                          <w:i/>
                          <w:sz w:val="16"/>
                          <w:szCs w:val="18"/>
                        </w:rPr>
                        <w:br/>
                      </w:r>
                      <w:r w:rsidRPr="009F6677">
                        <w:rPr>
                          <w:rFonts w:asciiTheme="minorHAnsi" w:hAnsiTheme="minorHAnsi"/>
                          <w:iCs/>
                          <w:sz w:val="16"/>
                          <w:szCs w:val="18"/>
                        </w:rPr>
                        <w:t>† Total approval in 2018/19 was incorrectly reported and should have been $18,093,406.</w:t>
                      </w:r>
                    </w:p>
                  </w:txbxContent>
                </v:textbox>
                <w10:wrap type="tight" anchorx="margin"/>
              </v:shape>
            </w:pict>
          </mc:Fallback>
        </mc:AlternateContent>
      </w:r>
    </w:p>
    <w:p w14:paraId="528C10F2" w14:textId="77777777" w:rsidR="003B42C9" w:rsidRPr="00644568" w:rsidRDefault="003B42C9" w:rsidP="003B42C9">
      <w:pPr>
        <w:keepNext/>
        <w:rPr>
          <w:rStyle w:val="Strong"/>
          <w:rFonts w:asciiTheme="minorHAnsi" w:hAnsiTheme="minorHAnsi" w:cstheme="minorHAnsi"/>
          <w:color w:val="F69E00"/>
          <w:sz w:val="24"/>
        </w:rPr>
      </w:pPr>
      <w:r w:rsidRPr="00644568">
        <w:rPr>
          <w:rStyle w:val="Strong"/>
          <w:rFonts w:asciiTheme="minorHAnsi" w:hAnsiTheme="minorHAnsi" w:cstheme="minorHAnsi"/>
          <w:color w:val="F69E00"/>
          <w:sz w:val="24"/>
        </w:rPr>
        <w:t>Projected benefits for implementation activities at time of funding approval</w:t>
      </w:r>
    </w:p>
    <w:p w14:paraId="6272FA6A" w14:textId="77777777" w:rsidR="003B42C9" w:rsidRPr="00644568" w:rsidRDefault="003B42C9" w:rsidP="003B42C9">
      <w:pPr>
        <w:rPr>
          <w:rStyle w:val="Strong"/>
          <w:b w:val="0"/>
        </w:rPr>
      </w:pPr>
      <w:r w:rsidRPr="00644568">
        <w:rPr>
          <w:rStyle w:val="Strong"/>
          <w:b w:val="0"/>
        </w:rPr>
        <w:t xml:space="preserve">The following table shows the projected monetary benefits at time of approval (undiscounted) by primary benefit type. Only primary benefits, not co-benefits, are captured. Benefits link to the estimated benefits for each project, broken down by benefit type (rather than by activity class). </w:t>
      </w:r>
    </w:p>
    <w:p w14:paraId="1F4F83F0" w14:textId="7AE8DD21" w:rsidR="002122B9" w:rsidRDefault="003B42C9" w:rsidP="003B42C9">
      <w:pPr>
        <w:rPr>
          <w:rStyle w:val="Strong"/>
          <w:b w:val="0"/>
        </w:rPr>
      </w:pPr>
      <w:r w:rsidRPr="00644568">
        <w:rPr>
          <w:rStyle w:val="Strong"/>
          <w:b w:val="0"/>
        </w:rPr>
        <w:t>These figures are provided as part of the business case during the funding approvals process.</w:t>
      </w:r>
      <w:r w:rsidRPr="00644568">
        <w:rPr>
          <w:b/>
        </w:rPr>
        <w:t xml:space="preserve"> </w:t>
      </w:r>
      <w:r w:rsidRPr="00644568">
        <w:rPr>
          <w:rStyle w:val="Strong"/>
          <w:b w:val="0"/>
        </w:rPr>
        <w:t xml:space="preserve">Information is available for improvement activities only and excludes continuous programmes (e.g. public transport, maintenance) and low-cost, low-risk investment. </w:t>
      </w:r>
    </w:p>
    <w:tbl>
      <w:tblPr>
        <w:tblStyle w:val="GridTable4-Accent4"/>
        <w:tblW w:w="5000" w:type="pct"/>
        <w:tblLook w:val="04A0" w:firstRow="1" w:lastRow="0" w:firstColumn="1" w:lastColumn="0" w:noHBand="0" w:noVBand="1"/>
      </w:tblPr>
      <w:tblGrid>
        <w:gridCol w:w="3764"/>
        <w:gridCol w:w="6692"/>
      </w:tblGrid>
      <w:tr w:rsidR="002122B9" w14:paraId="6BB84DD9" w14:textId="77777777" w:rsidTr="00606D6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0" w:type="pct"/>
            <w:shd w:val="clear" w:color="auto" w:fill="F69E00"/>
            <w:noWrap/>
            <w:hideMark/>
          </w:tcPr>
          <w:p w14:paraId="4F465EBD" w14:textId="77777777" w:rsidR="002122B9" w:rsidRDefault="002122B9" w:rsidP="00377147">
            <w:r>
              <w:t>Primary benefit</w:t>
            </w:r>
          </w:p>
        </w:tc>
        <w:tc>
          <w:tcPr>
            <w:tcW w:w="3200" w:type="pct"/>
            <w:shd w:val="clear" w:color="auto" w:fill="F69E00"/>
            <w:noWrap/>
            <w:hideMark/>
          </w:tcPr>
          <w:p w14:paraId="59AD62E8" w14:textId="77777777" w:rsidR="002122B9" w:rsidRDefault="002122B9" w:rsidP="00D351EB">
            <w:pPr>
              <w:jc w:val="right"/>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A0BD0">
              <w:t>Estimated value of benefits at time of approval</w:t>
            </w:r>
          </w:p>
        </w:tc>
      </w:tr>
      <w:tr w:rsidR="002122B9" w14:paraId="4E9E6702" w14:textId="77777777" w:rsidTr="00606D6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0" w:type="pct"/>
            <w:shd w:val="clear" w:color="auto" w:fill="FFD589"/>
            <w:noWrap/>
            <w:hideMark/>
          </w:tcPr>
          <w:p w14:paraId="188F696F" w14:textId="77777777" w:rsidR="002122B9" w:rsidRPr="009766A7" w:rsidRDefault="002122B9" w:rsidP="00377147">
            <w:pPr>
              <w:rPr>
                <w:b w:val="0"/>
              </w:rPr>
            </w:pPr>
            <w:r w:rsidRPr="009766A7">
              <w:rPr>
                <w:b w:val="0"/>
              </w:rPr>
              <w:t xml:space="preserve">Safety </w:t>
            </w:r>
          </w:p>
        </w:tc>
        <w:tc>
          <w:tcPr>
            <w:tcW w:w="3200" w:type="pct"/>
            <w:shd w:val="clear" w:color="auto" w:fill="FFD589"/>
            <w:noWrap/>
            <w:hideMark/>
          </w:tcPr>
          <w:p w14:paraId="50CC7481" w14:textId="3CE835B0" w:rsidR="002122B9" w:rsidRDefault="002122B9" w:rsidP="007A39D1">
            <w:pPr>
              <w:jc w:val="right"/>
              <w:cnfStyle w:val="000000100000" w:firstRow="0" w:lastRow="0" w:firstColumn="0" w:lastColumn="0" w:oddVBand="0" w:evenVBand="0" w:oddHBand="1" w:evenHBand="0" w:firstRowFirstColumn="0" w:firstRowLastColumn="0" w:lastRowFirstColumn="0" w:lastRowLastColumn="0"/>
            </w:pPr>
            <w:r>
              <w:t xml:space="preserve"> $3,661,800,551.30 </w:t>
            </w:r>
          </w:p>
        </w:tc>
      </w:tr>
      <w:tr w:rsidR="002122B9" w14:paraId="28066011" w14:textId="77777777" w:rsidTr="00606D6C">
        <w:trPr>
          <w:trHeight w:val="300"/>
        </w:trPr>
        <w:tc>
          <w:tcPr>
            <w:cnfStyle w:val="001000000000" w:firstRow="0" w:lastRow="0" w:firstColumn="1" w:lastColumn="0" w:oddVBand="0" w:evenVBand="0" w:oddHBand="0" w:evenHBand="0" w:firstRowFirstColumn="0" w:firstRowLastColumn="0" w:lastRowFirstColumn="0" w:lastRowLastColumn="0"/>
            <w:tcW w:w="1800" w:type="pct"/>
            <w:noWrap/>
            <w:hideMark/>
          </w:tcPr>
          <w:p w14:paraId="2DE29204" w14:textId="77777777" w:rsidR="002122B9" w:rsidRPr="009766A7" w:rsidRDefault="002122B9" w:rsidP="00377147">
            <w:pPr>
              <w:rPr>
                <w:b w:val="0"/>
              </w:rPr>
            </w:pPr>
            <w:r w:rsidRPr="009766A7">
              <w:rPr>
                <w:b w:val="0"/>
              </w:rPr>
              <w:t>Access-Resilience</w:t>
            </w:r>
          </w:p>
        </w:tc>
        <w:tc>
          <w:tcPr>
            <w:tcW w:w="3200" w:type="pct"/>
            <w:noWrap/>
            <w:hideMark/>
          </w:tcPr>
          <w:p w14:paraId="68087892" w14:textId="336081E5" w:rsidR="002122B9" w:rsidRDefault="002122B9" w:rsidP="007A39D1">
            <w:pPr>
              <w:jc w:val="right"/>
              <w:cnfStyle w:val="000000000000" w:firstRow="0" w:lastRow="0" w:firstColumn="0" w:lastColumn="0" w:oddVBand="0" w:evenVBand="0" w:oddHBand="0" w:evenHBand="0" w:firstRowFirstColumn="0" w:firstRowLastColumn="0" w:lastRowFirstColumn="0" w:lastRowLastColumn="0"/>
            </w:pPr>
            <w:r>
              <w:t xml:space="preserve">$912,790,040.25 </w:t>
            </w:r>
          </w:p>
        </w:tc>
      </w:tr>
      <w:tr w:rsidR="002122B9" w14:paraId="2EF6C5AF" w14:textId="77777777" w:rsidTr="00606D6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0" w:type="pct"/>
            <w:shd w:val="clear" w:color="auto" w:fill="FFD589"/>
            <w:noWrap/>
            <w:hideMark/>
          </w:tcPr>
          <w:p w14:paraId="17A03CA7" w14:textId="77777777" w:rsidR="002122B9" w:rsidRPr="009766A7" w:rsidRDefault="002122B9" w:rsidP="00377147">
            <w:pPr>
              <w:rPr>
                <w:b w:val="0"/>
              </w:rPr>
            </w:pPr>
            <w:r w:rsidRPr="009766A7">
              <w:rPr>
                <w:b w:val="0"/>
              </w:rPr>
              <w:t xml:space="preserve">Access-Choice </w:t>
            </w:r>
          </w:p>
        </w:tc>
        <w:tc>
          <w:tcPr>
            <w:tcW w:w="3200" w:type="pct"/>
            <w:shd w:val="clear" w:color="auto" w:fill="FFD589"/>
            <w:noWrap/>
            <w:hideMark/>
          </w:tcPr>
          <w:p w14:paraId="7943894A" w14:textId="186409AE" w:rsidR="002122B9" w:rsidRDefault="002122B9" w:rsidP="007A39D1">
            <w:pPr>
              <w:jc w:val="right"/>
              <w:cnfStyle w:val="000000100000" w:firstRow="0" w:lastRow="0" w:firstColumn="0" w:lastColumn="0" w:oddVBand="0" w:evenVBand="0" w:oddHBand="1" w:evenHBand="0" w:firstRowFirstColumn="0" w:firstRowLastColumn="0" w:lastRowFirstColumn="0" w:lastRowLastColumn="0"/>
            </w:pPr>
            <w:r>
              <w:t xml:space="preserve"> $1,720,162,307.25 </w:t>
            </w:r>
          </w:p>
        </w:tc>
      </w:tr>
      <w:tr w:rsidR="002122B9" w14:paraId="30F10B67" w14:textId="77777777" w:rsidTr="00606D6C">
        <w:trPr>
          <w:trHeight w:val="300"/>
        </w:trPr>
        <w:tc>
          <w:tcPr>
            <w:cnfStyle w:val="001000000000" w:firstRow="0" w:lastRow="0" w:firstColumn="1" w:lastColumn="0" w:oddVBand="0" w:evenVBand="0" w:oddHBand="0" w:evenHBand="0" w:firstRowFirstColumn="0" w:firstRowLastColumn="0" w:lastRowFirstColumn="0" w:lastRowLastColumn="0"/>
            <w:tcW w:w="1800" w:type="pct"/>
            <w:noWrap/>
            <w:hideMark/>
          </w:tcPr>
          <w:p w14:paraId="4C0A9055" w14:textId="77777777" w:rsidR="002122B9" w:rsidRPr="009766A7" w:rsidRDefault="002122B9" w:rsidP="00377147">
            <w:pPr>
              <w:rPr>
                <w:b w:val="0"/>
              </w:rPr>
            </w:pPr>
            <w:r w:rsidRPr="009766A7">
              <w:rPr>
                <w:b w:val="0"/>
              </w:rPr>
              <w:t>Access-Access</w:t>
            </w:r>
          </w:p>
        </w:tc>
        <w:tc>
          <w:tcPr>
            <w:tcW w:w="3200" w:type="pct"/>
            <w:noWrap/>
            <w:hideMark/>
          </w:tcPr>
          <w:p w14:paraId="4C4FEAD7" w14:textId="50D429BB" w:rsidR="002122B9" w:rsidRDefault="002122B9" w:rsidP="007A39D1">
            <w:pPr>
              <w:jc w:val="right"/>
              <w:cnfStyle w:val="000000000000" w:firstRow="0" w:lastRow="0" w:firstColumn="0" w:lastColumn="0" w:oddVBand="0" w:evenVBand="0" w:oddHBand="0" w:evenHBand="0" w:firstRowFirstColumn="0" w:firstRowLastColumn="0" w:lastRowFirstColumn="0" w:lastRowLastColumn="0"/>
            </w:pPr>
            <w:r>
              <w:t xml:space="preserve">$2,988,954,251.50 </w:t>
            </w:r>
          </w:p>
        </w:tc>
      </w:tr>
      <w:tr w:rsidR="002122B9" w14:paraId="72F1F835" w14:textId="77777777" w:rsidTr="00606D6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0" w:type="pct"/>
            <w:shd w:val="clear" w:color="auto" w:fill="FFD589"/>
            <w:noWrap/>
            <w:hideMark/>
          </w:tcPr>
          <w:p w14:paraId="2A4F4B55" w14:textId="77777777" w:rsidR="002122B9" w:rsidRPr="009766A7" w:rsidRDefault="002122B9" w:rsidP="00377147">
            <w:pPr>
              <w:rPr>
                <w:b w:val="0"/>
              </w:rPr>
            </w:pPr>
            <w:r w:rsidRPr="009766A7">
              <w:rPr>
                <w:b w:val="0"/>
              </w:rPr>
              <w:t>Environment</w:t>
            </w:r>
          </w:p>
        </w:tc>
        <w:tc>
          <w:tcPr>
            <w:tcW w:w="3200" w:type="pct"/>
            <w:shd w:val="clear" w:color="auto" w:fill="FFD589"/>
            <w:noWrap/>
            <w:hideMark/>
          </w:tcPr>
          <w:p w14:paraId="3F09B859" w14:textId="7651DCBF" w:rsidR="002122B9" w:rsidRDefault="002122B9" w:rsidP="007A39D1">
            <w:pPr>
              <w:jc w:val="right"/>
              <w:cnfStyle w:val="000000100000" w:firstRow="0" w:lastRow="0" w:firstColumn="0" w:lastColumn="0" w:oddVBand="0" w:evenVBand="0" w:oddHBand="1" w:evenHBand="0" w:firstRowFirstColumn="0" w:firstRowLastColumn="0" w:lastRowFirstColumn="0" w:lastRowLastColumn="0"/>
            </w:pPr>
            <w:r>
              <w:t xml:space="preserve">$1,031,523,016.70 </w:t>
            </w:r>
          </w:p>
        </w:tc>
      </w:tr>
      <w:tr w:rsidR="002122B9" w14:paraId="3911E924" w14:textId="77777777" w:rsidTr="00606D6C">
        <w:trPr>
          <w:trHeight w:val="300"/>
        </w:trPr>
        <w:tc>
          <w:tcPr>
            <w:cnfStyle w:val="001000000000" w:firstRow="0" w:lastRow="0" w:firstColumn="1" w:lastColumn="0" w:oddVBand="0" w:evenVBand="0" w:oddHBand="0" w:evenHBand="0" w:firstRowFirstColumn="0" w:firstRowLastColumn="0" w:lastRowFirstColumn="0" w:lastRowLastColumn="0"/>
            <w:tcW w:w="1800" w:type="pct"/>
            <w:noWrap/>
            <w:hideMark/>
          </w:tcPr>
          <w:p w14:paraId="47CC0D34" w14:textId="56FFBBE2" w:rsidR="002122B9" w:rsidRPr="009766A7" w:rsidRDefault="002122B9" w:rsidP="00377147">
            <w:pPr>
              <w:rPr>
                <w:b w:val="0"/>
              </w:rPr>
            </w:pPr>
            <w:r w:rsidRPr="009766A7">
              <w:rPr>
                <w:b w:val="0"/>
              </w:rPr>
              <w:t>Total</w:t>
            </w:r>
          </w:p>
        </w:tc>
        <w:tc>
          <w:tcPr>
            <w:tcW w:w="3200" w:type="pct"/>
            <w:noWrap/>
            <w:hideMark/>
          </w:tcPr>
          <w:p w14:paraId="7A2358C8" w14:textId="3D8E8838" w:rsidR="002122B9" w:rsidRDefault="002122B9" w:rsidP="007A39D1">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t xml:space="preserve">$10,315,230,167.00 </w:t>
            </w:r>
          </w:p>
        </w:tc>
      </w:tr>
    </w:tbl>
    <w:p w14:paraId="62A44BBA" w14:textId="4611EF42" w:rsidR="002122B9" w:rsidRDefault="002122B9" w:rsidP="003B42C9">
      <w:pPr>
        <w:rPr>
          <w:bCs/>
        </w:rPr>
      </w:pPr>
    </w:p>
    <w:p w14:paraId="1DB331D0" w14:textId="24B198A2" w:rsidR="00F828B5" w:rsidRDefault="00606D6C" w:rsidP="003B42C9">
      <w:pPr>
        <w:rPr>
          <w:bCs/>
        </w:rPr>
      </w:pPr>
      <w:r w:rsidRPr="009F6677">
        <w:rPr>
          <w:rFonts w:eastAsiaTheme="majorEastAsia"/>
          <w:noProof/>
          <w:color w:val="2E74B5" w:themeColor="accent1" w:themeShade="BF"/>
          <w:sz w:val="32"/>
          <w:szCs w:val="32"/>
          <w:lang w:eastAsia="en-NZ"/>
        </w:rPr>
        <mc:AlternateContent>
          <mc:Choice Requires="wps">
            <w:drawing>
              <wp:anchor distT="0" distB="0" distL="114300" distR="114300" simplePos="0" relativeHeight="251705344" behindDoc="1" locked="0" layoutInCell="1" allowOverlap="1" wp14:anchorId="6FDEAE1E" wp14:editId="0BCA0D9A">
                <wp:simplePos x="0" y="0"/>
                <wp:positionH relativeFrom="column">
                  <wp:posOffset>0</wp:posOffset>
                </wp:positionH>
                <wp:positionV relativeFrom="paragraph">
                  <wp:posOffset>-635</wp:posOffset>
                </wp:positionV>
                <wp:extent cx="6598285" cy="541020"/>
                <wp:effectExtent l="0" t="0" r="12065" b="11430"/>
                <wp:wrapTight wrapText="bothSides">
                  <wp:wrapPolygon edited="0">
                    <wp:start x="0" y="0"/>
                    <wp:lineTo x="0" y="21296"/>
                    <wp:lineTo x="21577" y="21296"/>
                    <wp:lineTo x="21577" y="0"/>
                    <wp:lineTo x="0" y="0"/>
                  </wp:wrapPolygon>
                </wp:wrapTight>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285" cy="541020"/>
                        </a:xfrm>
                        <a:prstGeom prst="rect">
                          <a:avLst/>
                        </a:prstGeom>
                        <a:solidFill>
                          <a:schemeClr val="bg2">
                            <a:lumMod val="90000"/>
                          </a:schemeClr>
                        </a:solidFill>
                        <a:ln w="9525">
                          <a:solidFill>
                            <a:schemeClr val="tx1"/>
                          </a:solidFill>
                          <a:miter lim="800000"/>
                          <a:headEnd/>
                          <a:tailEnd/>
                        </a:ln>
                      </wps:spPr>
                      <wps:txbx>
                        <w:txbxContent>
                          <w:p w14:paraId="20E5D5EA" w14:textId="636B5D16" w:rsidR="00BC0FB3" w:rsidRPr="00126F37" w:rsidRDefault="00BC0FB3" w:rsidP="00606D6C">
                            <w:pPr>
                              <w:rPr>
                                <w:rFonts w:asciiTheme="minorHAnsi" w:hAnsiTheme="minorHAnsi"/>
                                <w:sz w:val="16"/>
                                <w:szCs w:val="18"/>
                              </w:rPr>
                            </w:pPr>
                            <w:r w:rsidRPr="009F6677">
                              <w:rPr>
                                <w:rFonts w:asciiTheme="minorHAnsi" w:hAnsiTheme="minorHAnsi"/>
                                <w:i/>
                                <w:sz w:val="16"/>
                                <w:szCs w:val="18"/>
                              </w:rPr>
                              <w:t xml:space="preserve">Data source: </w:t>
                            </w:r>
                            <w:r w:rsidRPr="009F6677">
                              <w:rPr>
                                <w:rFonts w:asciiTheme="minorHAnsi" w:hAnsiTheme="minorHAnsi"/>
                                <w:sz w:val="16"/>
                                <w:szCs w:val="18"/>
                              </w:rPr>
                              <w:t xml:space="preserve">Waka Kotahi. </w:t>
                            </w:r>
                            <w:r>
                              <w:rPr>
                                <w:rFonts w:asciiTheme="minorHAnsi" w:hAnsiTheme="minorHAnsi"/>
                                <w:sz w:val="16"/>
                                <w:szCs w:val="18"/>
                              </w:rPr>
                              <w:t xml:space="preserve">The figures </w:t>
                            </w:r>
                            <w:r w:rsidRPr="00ED4FB8">
                              <w:rPr>
                                <w:rFonts w:asciiTheme="minorHAnsi" w:hAnsiTheme="minorHAnsi"/>
                                <w:sz w:val="16"/>
                                <w:szCs w:val="18"/>
                              </w:rPr>
                              <w:t xml:space="preserve">show the undiscounted projected monetary benefits provided in business cases </w:t>
                            </w:r>
                            <w:r>
                              <w:rPr>
                                <w:rFonts w:asciiTheme="minorHAnsi" w:hAnsiTheme="minorHAnsi"/>
                                <w:sz w:val="16"/>
                                <w:szCs w:val="18"/>
                              </w:rPr>
                              <w:t xml:space="preserve">in Transport Investment Online </w:t>
                            </w:r>
                            <w:r w:rsidRPr="00ED4FB8">
                              <w:rPr>
                                <w:rFonts w:asciiTheme="minorHAnsi" w:hAnsiTheme="minorHAnsi"/>
                                <w:sz w:val="16"/>
                                <w:szCs w:val="18"/>
                              </w:rPr>
                              <w:t>at the time of funding approval, by primary benefit type. They exclude continuous programmes (e.g. public transport, maintenance) and low-cost, low-risk investment, and cover the current NLTP only.</w:t>
                            </w:r>
                            <w:r>
                              <w:rPr>
                                <w:rFonts w:asciiTheme="minorHAnsi" w:hAnsiTheme="minorHAnsi"/>
                                <w:sz w:val="16"/>
                                <w:szCs w:val="18"/>
                              </w:rPr>
                              <w:t xml:space="preserve"> </w:t>
                            </w:r>
                          </w:p>
                          <w:p w14:paraId="2C4C3658" w14:textId="77777777" w:rsidR="00BC0FB3" w:rsidRPr="009F6677" w:rsidRDefault="00BC0FB3" w:rsidP="00606D6C">
                            <w:pPr>
                              <w:rPr>
                                <w:rStyle w:val="Strong"/>
                                <w:rFonts w:asciiTheme="minorHAnsi" w:hAnsiTheme="minorHAnsi"/>
                                <w:i/>
                                <w:sz w:val="16"/>
                                <w:szCs w:val="18"/>
                              </w:rPr>
                            </w:pPr>
                          </w:p>
                          <w:p w14:paraId="02CD9AA0" w14:textId="77777777" w:rsidR="00BC0FB3" w:rsidRPr="009F6677" w:rsidRDefault="00BC0FB3" w:rsidP="00606D6C">
                            <w:pPr>
                              <w:rPr>
                                <w:rFonts w:asciiTheme="minorHAnsi" w:hAnsiTheme="minorHAnsi"/>
                                <w:sz w:val="16"/>
                              </w:rPr>
                            </w:pPr>
                          </w:p>
                        </w:txbxContent>
                      </wps:txbx>
                      <wps:bodyPr rot="0" vert="horz" wrap="square" lIns="91440" tIns="45720" rIns="91440" bIns="45720" anchor="t" anchorCtr="0">
                        <a:noAutofit/>
                      </wps:bodyPr>
                    </wps:wsp>
                  </a:graphicData>
                </a:graphic>
              </wp:anchor>
            </w:drawing>
          </mc:Choice>
          <mc:Fallback>
            <w:pict>
              <v:shape w14:anchorId="6FDEAE1E" id="_x0000_s1034" type="#_x0000_t202" style="position:absolute;margin-left:0;margin-top:-.05pt;width:519.55pt;height:42.6pt;z-index:-251611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" fillcolor="#cfcdcd [2894]" strokecolor="black [3213]">
                <v:textbox>
                  <w:txbxContent>
                    <w:p w14:paraId="20E5D5EA" w14:textId="636B5D16" w:rsidR="00BC0FB3" w:rsidRPr="00126F37" w:rsidRDefault="00BC0FB3" w:rsidP="00606D6C">
                      <w:pPr>
                        <w:rPr>
                          <w:rFonts w:asciiTheme="minorHAnsi" w:hAnsiTheme="minorHAnsi"/>
                          <w:sz w:val="16"/>
                          <w:szCs w:val="18"/>
                        </w:rPr>
                      </w:pPr>
                      <w:r w:rsidRPr="009F6677">
                        <w:rPr>
                          <w:rFonts w:asciiTheme="minorHAnsi" w:hAnsiTheme="minorHAnsi"/>
                          <w:i/>
                          <w:sz w:val="16"/>
                          <w:szCs w:val="18"/>
                        </w:rPr>
                        <w:t xml:space="preserve">Data source: </w:t>
                      </w:r>
                      <w:r w:rsidRPr="009F6677">
                        <w:rPr>
                          <w:rFonts w:asciiTheme="minorHAnsi" w:hAnsiTheme="minorHAnsi"/>
                          <w:sz w:val="16"/>
                          <w:szCs w:val="18"/>
                        </w:rPr>
                        <w:t xml:space="preserve">Waka Kotahi. </w:t>
                      </w:r>
                      <w:r>
                        <w:rPr>
                          <w:rFonts w:asciiTheme="minorHAnsi" w:hAnsiTheme="minorHAnsi"/>
                          <w:sz w:val="16"/>
                          <w:szCs w:val="18"/>
                        </w:rPr>
                        <w:t xml:space="preserve">The figures </w:t>
                      </w:r>
                      <w:r w:rsidRPr="00ED4FB8">
                        <w:rPr>
                          <w:rFonts w:asciiTheme="minorHAnsi" w:hAnsiTheme="minorHAnsi"/>
                          <w:sz w:val="16"/>
                          <w:szCs w:val="18"/>
                        </w:rPr>
                        <w:t xml:space="preserve">show the undiscounted projected monetary benefits provided in business cases </w:t>
                      </w:r>
                      <w:r>
                        <w:rPr>
                          <w:rFonts w:asciiTheme="minorHAnsi" w:hAnsiTheme="minorHAnsi"/>
                          <w:sz w:val="16"/>
                          <w:szCs w:val="18"/>
                        </w:rPr>
                        <w:t xml:space="preserve">in Transport Investment Online </w:t>
                      </w:r>
                      <w:r w:rsidRPr="00ED4FB8">
                        <w:rPr>
                          <w:rFonts w:asciiTheme="minorHAnsi" w:hAnsiTheme="minorHAnsi"/>
                          <w:sz w:val="16"/>
                          <w:szCs w:val="18"/>
                        </w:rPr>
                        <w:t>at the time of funding approval, by primary benefit type. They exclude continuous programmes (e.g. public transport, maintenance) and low-cost, low-risk investment, and cover the current NLTP only.</w:t>
                      </w:r>
                      <w:r>
                        <w:rPr>
                          <w:rFonts w:asciiTheme="minorHAnsi" w:hAnsiTheme="minorHAnsi"/>
                          <w:sz w:val="16"/>
                          <w:szCs w:val="18"/>
                        </w:rPr>
                        <w:t xml:space="preserve"> </w:t>
                      </w:r>
                    </w:p>
                    <w:p w14:paraId="2C4C3658" w14:textId="77777777" w:rsidR="00BC0FB3" w:rsidRPr="009F6677" w:rsidRDefault="00BC0FB3" w:rsidP="00606D6C">
                      <w:pPr>
                        <w:rPr>
                          <w:rStyle w:val="Strong"/>
                          <w:rFonts w:asciiTheme="minorHAnsi" w:hAnsiTheme="minorHAnsi"/>
                          <w:i/>
                          <w:sz w:val="16"/>
                          <w:szCs w:val="18"/>
                        </w:rPr>
                      </w:pPr>
                    </w:p>
                    <w:p w14:paraId="02CD9AA0" w14:textId="77777777" w:rsidR="00BC0FB3" w:rsidRPr="009F6677" w:rsidRDefault="00BC0FB3" w:rsidP="00606D6C">
                      <w:pPr>
                        <w:rPr>
                          <w:rFonts w:asciiTheme="minorHAnsi" w:hAnsiTheme="minorHAnsi"/>
                          <w:sz w:val="16"/>
                        </w:rPr>
                      </w:pPr>
                    </w:p>
                  </w:txbxContent>
                </v:textbox>
                <w10:wrap type="tight"/>
              </v:shape>
            </w:pict>
          </mc:Fallback>
        </mc:AlternateContent>
      </w:r>
    </w:p>
    <w:p w14:paraId="7B88E65A" w14:textId="1EC6ECDF" w:rsidR="003B42C9" w:rsidRPr="00644568" w:rsidRDefault="003B42C9" w:rsidP="00644568">
      <w:pPr>
        <w:pStyle w:val="Heading1"/>
        <w:ind w:left="0"/>
        <w:rPr>
          <w:rFonts w:asciiTheme="minorHAnsi" w:hAnsiTheme="minorHAnsi" w:cstheme="minorHAnsi"/>
          <w:color w:val="F69E00"/>
        </w:rPr>
      </w:pPr>
      <w:r w:rsidRPr="00644568">
        <w:rPr>
          <w:rFonts w:asciiTheme="minorHAnsi" w:hAnsiTheme="minorHAnsi" w:cstheme="minorHAnsi"/>
          <w:color w:val="F69E00"/>
        </w:rPr>
        <w:t>Investment management</w:t>
      </w:r>
    </w:p>
    <w:p w14:paraId="4DF9F40B" w14:textId="5A0B8B07" w:rsidR="003B42C9" w:rsidRPr="00644568" w:rsidRDefault="003B42C9" w:rsidP="003B42C9">
      <w:pPr>
        <w:keepNext/>
        <w:rPr>
          <w:rStyle w:val="Strong"/>
          <w:rFonts w:asciiTheme="minorHAnsi" w:hAnsiTheme="minorHAnsi" w:cstheme="minorHAnsi"/>
          <w:color w:val="F69E00"/>
          <w:sz w:val="24"/>
        </w:rPr>
      </w:pPr>
      <w:r w:rsidRPr="00644568">
        <w:rPr>
          <w:rStyle w:val="Strong"/>
          <w:rFonts w:asciiTheme="minorHAnsi" w:hAnsiTheme="minorHAnsi" w:cstheme="minorHAnsi"/>
          <w:color w:val="F69E00"/>
          <w:sz w:val="24"/>
        </w:rPr>
        <w:t xml:space="preserve">Cost of investment management </w:t>
      </w:r>
    </w:p>
    <w:tbl>
      <w:tblPr>
        <w:tblStyle w:val="GridTable4-Accent1"/>
        <w:tblW w:w="5000" w:type="pct"/>
        <w:tblLook w:val="04A0" w:firstRow="1" w:lastRow="0" w:firstColumn="1" w:lastColumn="0" w:noHBand="0" w:noVBand="1"/>
      </w:tblPr>
      <w:tblGrid>
        <w:gridCol w:w="2494"/>
        <w:gridCol w:w="1592"/>
        <w:gridCol w:w="1592"/>
        <w:gridCol w:w="1592"/>
        <w:gridCol w:w="1593"/>
        <w:gridCol w:w="1593"/>
      </w:tblGrid>
      <w:tr w:rsidR="003B42C9" w:rsidRPr="00BA0BD0" w14:paraId="3A4C8709" w14:textId="77777777" w:rsidTr="006726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2" w:type="pct"/>
            <w:shd w:val="clear" w:color="auto" w:fill="F69E00"/>
          </w:tcPr>
          <w:p w14:paraId="091432D3" w14:textId="77777777" w:rsidR="003B42C9" w:rsidRPr="009766A7" w:rsidRDefault="003B42C9" w:rsidP="003B42C9">
            <w:pPr>
              <w:keepNext/>
              <w:keepLines/>
              <w:jc w:val="center"/>
            </w:pPr>
          </w:p>
        </w:tc>
        <w:tc>
          <w:tcPr>
            <w:tcW w:w="761" w:type="pct"/>
            <w:shd w:val="clear" w:color="auto" w:fill="F69E00"/>
          </w:tcPr>
          <w:p w14:paraId="66EE808C" w14:textId="77777777" w:rsidR="003B42C9" w:rsidRPr="009766A7" w:rsidRDefault="003B42C9" w:rsidP="003B42C9">
            <w:pPr>
              <w:keepNext/>
              <w:keepLines/>
              <w:jc w:val="center"/>
              <w:cnfStyle w:val="100000000000" w:firstRow="1" w:lastRow="0" w:firstColumn="0" w:lastColumn="0" w:oddVBand="0" w:evenVBand="0" w:oddHBand="0" w:evenHBand="0" w:firstRowFirstColumn="0" w:firstRowLastColumn="0" w:lastRowFirstColumn="0" w:lastRowLastColumn="0"/>
            </w:pPr>
            <w:r w:rsidRPr="009766A7">
              <w:t>2015/16</w:t>
            </w:r>
          </w:p>
        </w:tc>
        <w:tc>
          <w:tcPr>
            <w:tcW w:w="761" w:type="pct"/>
            <w:shd w:val="clear" w:color="auto" w:fill="F69E00"/>
          </w:tcPr>
          <w:p w14:paraId="66C66807" w14:textId="77777777" w:rsidR="003B42C9" w:rsidRPr="009766A7" w:rsidRDefault="003B42C9" w:rsidP="003B42C9">
            <w:pPr>
              <w:keepNext/>
              <w:keepLines/>
              <w:jc w:val="center"/>
              <w:cnfStyle w:val="100000000000" w:firstRow="1" w:lastRow="0" w:firstColumn="0" w:lastColumn="0" w:oddVBand="0" w:evenVBand="0" w:oddHBand="0" w:evenHBand="0" w:firstRowFirstColumn="0" w:firstRowLastColumn="0" w:lastRowFirstColumn="0" w:lastRowLastColumn="0"/>
            </w:pPr>
            <w:r w:rsidRPr="009766A7">
              <w:t>2016/17</w:t>
            </w:r>
          </w:p>
        </w:tc>
        <w:tc>
          <w:tcPr>
            <w:tcW w:w="761" w:type="pct"/>
            <w:shd w:val="clear" w:color="auto" w:fill="F69E00"/>
          </w:tcPr>
          <w:p w14:paraId="6491C755" w14:textId="77777777" w:rsidR="003B42C9" w:rsidRPr="009766A7" w:rsidRDefault="003B42C9" w:rsidP="003B42C9">
            <w:pPr>
              <w:keepNext/>
              <w:keepLines/>
              <w:jc w:val="center"/>
              <w:cnfStyle w:val="100000000000" w:firstRow="1" w:lastRow="0" w:firstColumn="0" w:lastColumn="0" w:oddVBand="0" w:evenVBand="0" w:oddHBand="0" w:evenHBand="0" w:firstRowFirstColumn="0" w:firstRowLastColumn="0" w:lastRowFirstColumn="0" w:lastRowLastColumn="0"/>
            </w:pPr>
            <w:r w:rsidRPr="009766A7">
              <w:t>2017/18</w:t>
            </w:r>
          </w:p>
        </w:tc>
        <w:tc>
          <w:tcPr>
            <w:tcW w:w="762" w:type="pct"/>
            <w:shd w:val="clear" w:color="auto" w:fill="F69E00"/>
          </w:tcPr>
          <w:p w14:paraId="4798EC35" w14:textId="77777777" w:rsidR="003B42C9" w:rsidRPr="009766A7" w:rsidRDefault="003B42C9" w:rsidP="003B42C9">
            <w:pPr>
              <w:keepNext/>
              <w:keepLines/>
              <w:jc w:val="center"/>
              <w:cnfStyle w:val="100000000000" w:firstRow="1" w:lastRow="0" w:firstColumn="0" w:lastColumn="0" w:oddVBand="0" w:evenVBand="0" w:oddHBand="0" w:evenHBand="0" w:firstRowFirstColumn="0" w:firstRowLastColumn="0" w:lastRowFirstColumn="0" w:lastRowLastColumn="0"/>
            </w:pPr>
            <w:r w:rsidRPr="009766A7">
              <w:t>2018/19</w:t>
            </w:r>
          </w:p>
        </w:tc>
        <w:tc>
          <w:tcPr>
            <w:tcW w:w="762" w:type="pct"/>
            <w:shd w:val="clear" w:color="auto" w:fill="F69E00"/>
          </w:tcPr>
          <w:p w14:paraId="50AA8F69" w14:textId="77777777" w:rsidR="003B42C9" w:rsidRPr="009766A7" w:rsidRDefault="003B42C9" w:rsidP="003B42C9">
            <w:pPr>
              <w:keepNext/>
              <w:keepLines/>
              <w:jc w:val="center"/>
              <w:cnfStyle w:val="100000000000" w:firstRow="1" w:lastRow="0" w:firstColumn="0" w:lastColumn="0" w:oddVBand="0" w:evenVBand="0" w:oddHBand="0" w:evenHBand="0" w:firstRowFirstColumn="0" w:firstRowLastColumn="0" w:lastRowFirstColumn="0" w:lastRowLastColumn="0"/>
            </w:pPr>
            <w:r w:rsidRPr="009766A7">
              <w:t>2019/20</w:t>
            </w:r>
          </w:p>
        </w:tc>
      </w:tr>
      <w:tr w:rsidR="003B42C9" w:rsidRPr="00BA0BD0" w14:paraId="7AE59E13" w14:textId="23E9267D" w:rsidTr="006726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2" w:type="pct"/>
            <w:shd w:val="clear" w:color="auto" w:fill="FFDD9F"/>
          </w:tcPr>
          <w:p w14:paraId="24E54095" w14:textId="309421D0" w:rsidR="003B42C9" w:rsidRPr="009766A7" w:rsidRDefault="003B42C9" w:rsidP="003B42C9">
            <w:pPr>
              <w:keepLines/>
              <w:spacing w:before="40" w:after="40"/>
              <w:jc w:val="center"/>
              <w:rPr>
                <w:b w:val="0"/>
                <w:color w:val="000000"/>
              </w:rPr>
            </w:pPr>
            <w:r w:rsidRPr="009766A7">
              <w:rPr>
                <w:b w:val="0"/>
                <w:color w:val="000000"/>
              </w:rPr>
              <w:t>Investment in investment management</w:t>
            </w:r>
          </w:p>
        </w:tc>
        <w:tc>
          <w:tcPr>
            <w:tcW w:w="761" w:type="pct"/>
            <w:shd w:val="clear" w:color="auto" w:fill="FFDD9F"/>
          </w:tcPr>
          <w:p w14:paraId="09EB6594" w14:textId="2149A930" w:rsidR="003B42C9" w:rsidRPr="009766A7" w:rsidRDefault="003B42C9" w:rsidP="003B42C9">
            <w:pPr>
              <w:keepLines/>
              <w:spacing w:before="40" w:after="40"/>
              <w:jc w:val="center"/>
              <w:cnfStyle w:val="000000100000" w:firstRow="0" w:lastRow="0" w:firstColumn="0" w:lastColumn="0" w:oddVBand="0" w:evenVBand="0" w:oddHBand="1" w:evenHBand="0" w:firstRowFirstColumn="0" w:firstRowLastColumn="0" w:lastRowFirstColumn="0" w:lastRowLastColumn="0"/>
              <w:rPr>
                <w:color w:val="000000"/>
              </w:rPr>
            </w:pPr>
            <w:r w:rsidRPr="009766A7">
              <w:t>$61,067,727</w:t>
            </w:r>
          </w:p>
        </w:tc>
        <w:tc>
          <w:tcPr>
            <w:tcW w:w="761" w:type="pct"/>
            <w:shd w:val="clear" w:color="auto" w:fill="FFDD9F"/>
          </w:tcPr>
          <w:p w14:paraId="26A4A341" w14:textId="04DE9984" w:rsidR="003B42C9" w:rsidRPr="009766A7" w:rsidRDefault="003B42C9" w:rsidP="003B42C9">
            <w:pPr>
              <w:keepLines/>
              <w:spacing w:before="40" w:after="40"/>
              <w:jc w:val="center"/>
              <w:cnfStyle w:val="000000100000" w:firstRow="0" w:lastRow="0" w:firstColumn="0" w:lastColumn="0" w:oddVBand="0" w:evenVBand="0" w:oddHBand="1" w:evenHBand="0" w:firstRowFirstColumn="0" w:firstRowLastColumn="0" w:lastRowFirstColumn="0" w:lastRowLastColumn="0"/>
              <w:rPr>
                <w:color w:val="000000"/>
              </w:rPr>
            </w:pPr>
            <w:r w:rsidRPr="009766A7">
              <w:t>$61,999,329</w:t>
            </w:r>
          </w:p>
        </w:tc>
        <w:tc>
          <w:tcPr>
            <w:tcW w:w="761" w:type="pct"/>
            <w:shd w:val="clear" w:color="auto" w:fill="FFDD9F"/>
          </w:tcPr>
          <w:p w14:paraId="1517A8D7" w14:textId="16D35590" w:rsidR="003B42C9" w:rsidRPr="009766A7" w:rsidRDefault="003B42C9" w:rsidP="003B42C9">
            <w:pPr>
              <w:keepLines/>
              <w:spacing w:before="40" w:after="40"/>
              <w:jc w:val="center"/>
              <w:cnfStyle w:val="000000100000" w:firstRow="0" w:lastRow="0" w:firstColumn="0" w:lastColumn="0" w:oddVBand="0" w:evenVBand="0" w:oddHBand="1" w:evenHBand="0" w:firstRowFirstColumn="0" w:firstRowLastColumn="0" w:lastRowFirstColumn="0" w:lastRowLastColumn="0"/>
              <w:rPr>
                <w:color w:val="000000"/>
              </w:rPr>
            </w:pPr>
            <w:r w:rsidRPr="009766A7">
              <w:t>$60,289,380</w:t>
            </w:r>
          </w:p>
        </w:tc>
        <w:tc>
          <w:tcPr>
            <w:tcW w:w="762" w:type="pct"/>
            <w:shd w:val="clear" w:color="auto" w:fill="FFDD9F"/>
          </w:tcPr>
          <w:p w14:paraId="47B50ABC" w14:textId="690B883C" w:rsidR="003B42C9" w:rsidRPr="009766A7" w:rsidRDefault="003B42C9" w:rsidP="003B42C9">
            <w:pPr>
              <w:keepLines/>
              <w:spacing w:before="40" w:after="40"/>
              <w:jc w:val="center"/>
              <w:cnfStyle w:val="000000100000" w:firstRow="0" w:lastRow="0" w:firstColumn="0" w:lastColumn="0" w:oddVBand="0" w:evenVBand="0" w:oddHBand="1" w:evenHBand="0" w:firstRowFirstColumn="0" w:firstRowLastColumn="0" w:lastRowFirstColumn="0" w:lastRowLastColumn="0"/>
              <w:rPr>
                <w:color w:val="000000"/>
              </w:rPr>
            </w:pPr>
            <w:r w:rsidRPr="009766A7">
              <w:t>$58,212,121</w:t>
            </w:r>
          </w:p>
        </w:tc>
        <w:tc>
          <w:tcPr>
            <w:tcW w:w="762" w:type="pct"/>
            <w:shd w:val="clear" w:color="auto" w:fill="FFDD9F"/>
          </w:tcPr>
          <w:p w14:paraId="0769A4D8" w14:textId="28FD9927" w:rsidR="003B42C9" w:rsidRPr="009766A7" w:rsidRDefault="003B42C9" w:rsidP="003B42C9">
            <w:pPr>
              <w:keepLines/>
              <w:spacing w:before="40" w:after="40"/>
              <w:jc w:val="center"/>
              <w:cnfStyle w:val="000000100000" w:firstRow="0" w:lastRow="0" w:firstColumn="0" w:lastColumn="0" w:oddVBand="0" w:evenVBand="0" w:oddHBand="1" w:evenHBand="0" w:firstRowFirstColumn="0" w:firstRowLastColumn="0" w:lastRowFirstColumn="0" w:lastRowLastColumn="0"/>
              <w:rPr>
                <w:color w:val="000000"/>
              </w:rPr>
            </w:pPr>
            <w:r w:rsidRPr="009766A7">
              <w:t>$84,963,024</w:t>
            </w:r>
          </w:p>
        </w:tc>
      </w:tr>
      <w:tr w:rsidR="003B42C9" w:rsidRPr="00BA0BD0" w14:paraId="06FA8DFC" w14:textId="77777777" w:rsidTr="0067265A">
        <w:tc>
          <w:tcPr>
            <w:cnfStyle w:val="001000000000" w:firstRow="0" w:lastRow="0" w:firstColumn="1" w:lastColumn="0" w:oddVBand="0" w:evenVBand="0" w:oddHBand="0" w:evenHBand="0" w:firstRowFirstColumn="0" w:firstRowLastColumn="0" w:lastRowFirstColumn="0" w:lastRowLastColumn="0"/>
            <w:tcW w:w="1192" w:type="pct"/>
          </w:tcPr>
          <w:p w14:paraId="55EE342A" w14:textId="77777777" w:rsidR="003B42C9" w:rsidRPr="009766A7" w:rsidRDefault="003B42C9" w:rsidP="003B42C9">
            <w:pPr>
              <w:keepLines/>
              <w:spacing w:before="40" w:after="40"/>
              <w:jc w:val="center"/>
              <w:rPr>
                <w:b w:val="0"/>
                <w:color w:val="000000"/>
              </w:rPr>
            </w:pPr>
            <w:r w:rsidRPr="009766A7">
              <w:rPr>
                <w:b w:val="0"/>
                <w:color w:val="000000"/>
              </w:rPr>
              <w:t>Total cost of managing the funding allocation system as a percentage of NLTP expenditure</w:t>
            </w:r>
          </w:p>
        </w:tc>
        <w:tc>
          <w:tcPr>
            <w:tcW w:w="761" w:type="pct"/>
          </w:tcPr>
          <w:p w14:paraId="2E541370" w14:textId="77777777" w:rsidR="003B42C9" w:rsidRPr="009766A7" w:rsidRDefault="003B42C9" w:rsidP="003B42C9">
            <w:pPr>
              <w:keepLines/>
              <w:spacing w:before="40" w:after="40"/>
              <w:jc w:val="center"/>
              <w:cnfStyle w:val="000000000000" w:firstRow="0" w:lastRow="0" w:firstColumn="0" w:lastColumn="0" w:oddVBand="0" w:evenVBand="0" w:oddHBand="0" w:evenHBand="0" w:firstRowFirstColumn="0" w:firstRowLastColumn="0" w:lastRowFirstColumn="0" w:lastRowLastColumn="0"/>
              <w:rPr>
                <w:color w:val="000000"/>
              </w:rPr>
            </w:pPr>
            <w:r w:rsidRPr="009766A7">
              <w:rPr>
                <w:color w:val="000000"/>
              </w:rPr>
              <w:t>1.1%</w:t>
            </w:r>
          </w:p>
        </w:tc>
        <w:tc>
          <w:tcPr>
            <w:tcW w:w="761" w:type="pct"/>
          </w:tcPr>
          <w:p w14:paraId="6A7A83E8" w14:textId="77777777" w:rsidR="003B42C9" w:rsidRPr="009766A7" w:rsidRDefault="003B42C9" w:rsidP="003B42C9">
            <w:pPr>
              <w:keepLines/>
              <w:spacing w:before="40" w:after="40"/>
              <w:jc w:val="center"/>
              <w:cnfStyle w:val="000000000000" w:firstRow="0" w:lastRow="0" w:firstColumn="0" w:lastColumn="0" w:oddVBand="0" w:evenVBand="0" w:oddHBand="0" w:evenHBand="0" w:firstRowFirstColumn="0" w:firstRowLastColumn="0" w:lastRowFirstColumn="0" w:lastRowLastColumn="0"/>
              <w:rPr>
                <w:color w:val="000000"/>
              </w:rPr>
            </w:pPr>
            <w:r w:rsidRPr="009766A7">
              <w:rPr>
                <w:color w:val="000000"/>
              </w:rPr>
              <w:t>1.0%</w:t>
            </w:r>
          </w:p>
        </w:tc>
        <w:tc>
          <w:tcPr>
            <w:tcW w:w="761" w:type="pct"/>
          </w:tcPr>
          <w:p w14:paraId="79233B69" w14:textId="77777777" w:rsidR="003B42C9" w:rsidRPr="009766A7" w:rsidRDefault="003B42C9" w:rsidP="003B42C9">
            <w:pPr>
              <w:keepLines/>
              <w:spacing w:before="40" w:after="40"/>
              <w:jc w:val="center"/>
              <w:cnfStyle w:val="000000000000" w:firstRow="0" w:lastRow="0" w:firstColumn="0" w:lastColumn="0" w:oddVBand="0" w:evenVBand="0" w:oddHBand="0" w:evenHBand="0" w:firstRowFirstColumn="0" w:firstRowLastColumn="0" w:lastRowFirstColumn="0" w:lastRowLastColumn="0"/>
              <w:rPr>
                <w:color w:val="000000"/>
              </w:rPr>
            </w:pPr>
            <w:r w:rsidRPr="009766A7">
              <w:rPr>
                <w:color w:val="000000"/>
              </w:rPr>
              <w:t>0.9%</w:t>
            </w:r>
          </w:p>
        </w:tc>
        <w:tc>
          <w:tcPr>
            <w:tcW w:w="762" w:type="pct"/>
          </w:tcPr>
          <w:p w14:paraId="57AB2D12" w14:textId="77777777" w:rsidR="003B42C9" w:rsidRPr="009766A7" w:rsidRDefault="003B42C9" w:rsidP="003B42C9">
            <w:pPr>
              <w:keepLines/>
              <w:spacing w:before="40" w:after="40"/>
              <w:jc w:val="center"/>
              <w:cnfStyle w:val="000000000000" w:firstRow="0" w:lastRow="0" w:firstColumn="0" w:lastColumn="0" w:oddVBand="0" w:evenVBand="0" w:oddHBand="0" w:evenHBand="0" w:firstRowFirstColumn="0" w:firstRowLastColumn="0" w:lastRowFirstColumn="0" w:lastRowLastColumn="0"/>
              <w:rPr>
                <w:color w:val="000000"/>
              </w:rPr>
            </w:pPr>
            <w:r w:rsidRPr="009766A7">
              <w:rPr>
                <w:color w:val="000000"/>
              </w:rPr>
              <w:t>1.0%</w:t>
            </w:r>
          </w:p>
        </w:tc>
        <w:tc>
          <w:tcPr>
            <w:tcW w:w="762" w:type="pct"/>
          </w:tcPr>
          <w:p w14:paraId="5CECE42E" w14:textId="39ED4B06" w:rsidR="003B42C9" w:rsidRPr="009766A7" w:rsidRDefault="003B42C9" w:rsidP="003B42C9">
            <w:pPr>
              <w:keepLines/>
              <w:spacing w:before="40" w:after="40"/>
              <w:jc w:val="center"/>
              <w:cnfStyle w:val="000000000000" w:firstRow="0" w:lastRow="0" w:firstColumn="0" w:lastColumn="0" w:oddVBand="0" w:evenVBand="0" w:oddHBand="0" w:evenHBand="0" w:firstRowFirstColumn="0" w:firstRowLastColumn="0" w:lastRowFirstColumn="0" w:lastRowLastColumn="0"/>
              <w:rPr>
                <w:color w:val="000000"/>
              </w:rPr>
            </w:pPr>
            <w:r w:rsidRPr="009766A7">
              <w:rPr>
                <w:color w:val="000000"/>
              </w:rPr>
              <w:t>1.0</w:t>
            </w:r>
            <w:r w:rsidR="00281DEC" w:rsidRPr="009766A7">
              <w:rPr>
                <w:color w:val="000000"/>
              </w:rPr>
              <w:t>%</w:t>
            </w:r>
          </w:p>
        </w:tc>
      </w:tr>
    </w:tbl>
    <w:p w14:paraId="5525A4C8" w14:textId="75095FED" w:rsidR="009F6677" w:rsidRPr="00BA0BD0" w:rsidRDefault="009F6677" w:rsidP="003B42C9">
      <w:pPr>
        <w:rPr>
          <w:rStyle w:val="Strong"/>
          <w:b w:val="0"/>
          <w:bCs w:val="0"/>
          <w:i/>
          <w:sz w:val="18"/>
          <w:szCs w:val="18"/>
        </w:rPr>
      </w:pPr>
    </w:p>
    <w:p w14:paraId="75FBF593" w14:textId="7649F47E" w:rsidR="00606D6C" w:rsidRDefault="00606D6C" w:rsidP="00644568">
      <w:pPr>
        <w:pStyle w:val="Heading1"/>
        <w:ind w:left="0"/>
        <w:rPr>
          <w:rFonts w:asciiTheme="minorHAnsi" w:hAnsiTheme="minorHAnsi" w:cstheme="minorHAnsi"/>
          <w:color w:val="F69E00"/>
        </w:rPr>
      </w:pPr>
      <w:r w:rsidRPr="009F6677">
        <w:rPr>
          <w:rFonts w:eastAsiaTheme="majorEastAsia"/>
          <w:noProof/>
          <w:color w:val="2E74B5" w:themeColor="accent1" w:themeShade="BF"/>
          <w:lang w:bidi="ar-SA"/>
        </w:rPr>
        <w:lastRenderedPageBreak/>
        <mc:AlternateContent>
          <mc:Choice Requires="wps">
            <w:drawing>
              <wp:inline distT="0" distB="0" distL="0" distR="0" wp14:anchorId="0E35878D" wp14:editId="369DF6C7">
                <wp:extent cx="6636385" cy="353695"/>
                <wp:effectExtent l="0" t="0" r="12065" b="2730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6385" cy="353695"/>
                        </a:xfrm>
                        <a:prstGeom prst="rect">
                          <a:avLst/>
                        </a:prstGeom>
                        <a:solidFill>
                          <a:schemeClr val="bg2">
                            <a:lumMod val="90000"/>
                          </a:schemeClr>
                        </a:solidFill>
                        <a:ln w="9525">
                          <a:solidFill>
                            <a:schemeClr val="tx1"/>
                          </a:solidFill>
                          <a:miter lim="800000"/>
                          <a:headEnd/>
                          <a:tailEnd/>
                        </a:ln>
                      </wps:spPr>
                      <wps:txbx>
                        <w:txbxContent>
                          <w:p w14:paraId="4B4FE0DA" w14:textId="29F05762" w:rsidR="00BC0FB3" w:rsidRPr="009F6677" w:rsidRDefault="00BC0FB3" w:rsidP="00606D6C">
                            <w:pPr>
                              <w:rPr>
                                <w:rStyle w:val="Strong"/>
                                <w:rFonts w:asciiTheme="minorHAnsi" w:hAnsiTheme="minorHAnsi"/>
                                <w:i/>
                                <w:sz w:val="16"/>
                                <w:szCs w:val="18"/>
                              </w:rPr>
                            </w:pPr>
                            <w:r w:rsidRPr="009F6677">
                              <w:rPr>
                                <w:rFonts w:asciiTheme="minorHAnsi" w:hAnsiTheme="minorHAnsi"/>
                                <w:i/>
                                <w:sz w:val="16"/>
                                <w:szCs w:val="18"/>
                              </w:rPr>
                              <w:t xml:space="preserve">Data source: </w:t>
                            </w:r>
                            <w:r w:rsidRPr="009F6677">
                              <w:rPr>
                                <w:rFonts w:asciiTheme="minorHAnsi" w:hAnsiTheme="minorHAnsi"/>
                                <w:sz w:val="16"/>
                                <w:szCs w:val="18"/>
                              </w:rPr>
                              <w:t xml:space="preserve">Waka Kotahi. Investment includes funding from the NLTF and Crown but </w:t>
                            </w:r>
                            <w:r w:rsidRPr="00947F08">
                              <w:rPr>
                                <w:rStyle w:val="Strong"/>
                                <w:rFonts w:asciiTheme="minorHAnsi" w:hAnsiTheme="minorHAnsi"/>
                                <w:b w:val="0"/>
                                <w:bCs w:val="0"/>
                                <w:sz w:val="16"/>
                                <w:szCs w:val="18"/>
                              </w:rPr>
                              <w:t>excludes the local authority funding contribution for investments in local transport activities.</w:t>
                            </w:r>
                            <w:r w:rsidRPr="009F6677">
                              <w:rPr>
                                <w:rStyle w:val="Strong"/>
                                <w:rFonts w:asciiTheme="minorHAnsi" w:hAnsiTheme="minorHAnsi"/>
                                <w:i/>
                                <w:sz w:val="16"/>
                                <w:szCs w:val="18"/>
                              </w:rPr>
                              <w:t xml:space="preserve"> </w:t>
                            </w:r>
                          </w:p>
                          <w:p w14:paraId="5271E423" w14:textId="77777777" w:rsidR="00BC0FB3" w:rsidRPr="009F6677" w:rsidRDefault="00BC0FB3" w:rsidP="00606D6C">
                            <w:pPr>
                              <w:rPr>
                                <w:rFonts w:asciiTheme="minorHAnsi" w:hAnsiTheme="minorHAnsi"/>
                                <w:sz w:val="16"/>
                              </w:rPr>
                            </w:pPr>
                          </w:p>
                        </w:txbxContent>
                      </wps:txbx>
                      <wps:bodyPr rot="0" vert="horz" wrap="square" lIns="91440" tIns="45720" rIns="91440" bIns="45720" anchor="t" anchorCtr="0">
                        <a:noAutofit/>
                      </wps:bodyPr>
                    </wps:wsp>
                  </a:graphicData>
                </a:graphic>
              </wp:inline>
            </w:drawing>
          </mc:Choice>
          <mc:Fallback>
            <w:pict>
              <v:shape w14:anchorId="0E35878D" id="_x0000_s1035" type="#_x0000_t202" style="width:522.5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" fillcolor="#cfcdcd [2894]" strokecolor="black [3213]">
                <v:textbox>
                  <w:txbxContent>
                    <w:p w14:paraId="4B4FE0DA" w14:textId="29F05762" w:rsidR="00BC0FB3" w:rsidRPr="009F6677" w:rsidRDefault="00BC0FB3" w:rsidP="00606D6C">
                      <w:pPr>
                        <w:rPr>
                          <w:rStyle w:val="Strong"/>
                          <w:rFonts w:asciiTheme="minorHAnsi" w:hAnsiTheme="minorHAnsi"/>
                          <w:i/>
                          <w:sz w:val="16"/>
                          <w:szCs w:val="18"/>
                        </w:rPr>
                      </w:pPr>
                      <w:r w:rsidRPr="009F6677">
                        <w:rPr>
                          <w:rFonts w:asciiTheme="minorHAnsi" w:hAnsiTheme="minorHAnsi"/>
                          <w:i/>
                          <w:sz w:val="16"/>
                          <w:szCs w:val="18"/>
                        </w:rPr>
                        <w:t xml:space="preserve">Data source: </w:t>
                      </w:r>
                      <w:r w:rsidRPr="009F6677">
                        <w:rPr>
                          <w:rFonts w:asciiTheme="minorHAnsi" w:hAnsiTheme="minorHAnsi"/>
                          <w:sz w:val="16"/>
                          <w:szCs w:val="18"/>
                        </w:rPr>
                        <w:t xml:space="preserve">Waka Kotahi. Investment includes funding from the NLTF and Crown but </w:t>
                      </w:r>
                      <w:r w:rsidRPr="00947F08">
                        <w:rPr>
                          <w:rStyle w:val="Strong"/>
                          <w:rFonts w:asciiTheme="minorHAnsi" w:hAnsiTheme="minorHAnsi"/>
                          <w:b w:val="0"/>
                          <w:bCs w:val="0"/>
                          <w:sz w:val="16"/>
                          <w:szCs w:val="18"/>
                        </w:rPr>
                        <w:t>excludes the local authority funding contribution for investments in local transport activities.</w:t>
                      </w:r>
                      <w:r w:rsidRPr="009F6677">
                        <w:rPr>
                          <w:rStyle w:val="Strong"/>
                          <w:rFonts w:asciiTheme="minorHAnsi" w:hAnsiTheme="minorHAnsi"/>
                          <w:i/>
                          <w:sz w:val="16"/>
                          <w:szCs w:val="18"/>
                        </w:rPr>
                        <w:t xml:space="preserve"> </w:t>
                      </w:r>
                    </w:p>
                    <w:p w14:paraId="5271E423" w14:textId="77777777" w:rsidR="00BC0FB3" w:rsidRPr="009F6677" w:rsidRDefault="00BC0FB3" w:rsidP="00606D6C">
                      <w:pPr>
                        <w:rPr>
                          <w:rFonts w:asciiTheme="minorHAnsi" w:hAnsiTheme="minorHAnsi"/>
                          <w:sz w:val="16"/>
                        </w:rPr>
                      </w:pPr>
                    </w:p>
                  </w:txbxContent>
                </v:textbox>
                <w10:anchorlock/>
              </v:shape>
            </w:pict>
          </mc:Fallback>
        </mc:AlternateContent>
      </w:r>
    </w:p>
    <w:p w14:paraId="563C5B68" w14:textId="77777777" w:rsidR="00606D6C" w:rsidRDefault="00606D6C" w:rsidP="00644568">
      <w:pPr>
        <w:pStyle w:val="Heading1"/>
        <w:ind w:left="0"/>
        <w:rPr>
          <w:rFonts w:asciiTheme="minorHAnsi" w:hAnsiTheme="minorHAnsi" w:cstheme="minorHAnsi"/>
          <w:color w:val="F69E00"/>
        </w:rPr>
      </w:pPr>
    </w:p>
    <w:p w14:paraId="7F1DAB0B" w14:textId="77777777" w:rsidR="00606D6C" w:rsidRDefault="00606D6C" w:rsidP="00644568">
      <w:pPr>
        <w:pStyle w:val="Heading1"/>
        <w:ind w:left="0"/>
        <w:rPr>
          <w:rFonts w:asciiTheme="minorHAnsi" w:hAnsiTheme="minorHAnsi" w:cstheme="minorHAnsi"/>
          <w:color w:val="F69E00"/>
        </w:rPr>
      </w:pPr>
    </w:p>
    <w:p w14:paraId="47DA4B48" w14:textId="77777777" w:rsidR="00606D6C" w:rsidRDefault="00606D6C" w:rsidP="00644568">
      <w:pPr>
        <w:pStyle w:val="Heading1"/>
        <w:ind w:left="0"/>
        <w:rPr>
          <w:rFonts w:asciiTheme="minorHAnsi" w:hAnsiTheme="minorHAnsi" w:cstheme="minorHAnsi"/>
          <w:color w:val="F69E00"/>
        </w:rPr>
      </w:pPr>
    </w:p>
    <w:p w14:paraId="404C6C4C" w14:textId="77777777" w:rsidR="00606D6C" w:rsidRDefault="00606D6C" w:rsidP="00644568">
      <w:pPr>
        <w:pStyle w:val="Heading1"/>
        <w:ind w:left="0"/>
        <w:rPr>
          <w:rFonts w:asciiTheme="minorHAnsi" w:hAnsiTheme="minorHAnsi" w:cstheme="minorHAnsi"/>
          <w:color w:val="F69E00"/>
        </w:rPr>
      </w:pPr>
    </w:p>
    <w:p w14:paraId="202F7B41" w14:textId="7F321B40" w:rsidR="003B42C9" w:rsidRPr="00644568" w:rsidRDefault="003B42C9" w:rsidP="00644568">
      <w:pPr>
        <w:pStyle w:val="Heading1"/>
        <w:ind w:left="0"/>
        <w:rPr>
          <w:rFonts w:asciiTheme="minorHAnsi" w:hAnsiTheme="minorHAnsi" w:cstheme="minorHAnsi"/>
          <w:color w:val="F69E00"/>
        </w:rPr>
      </w:pPr>
      <w:r w:rsidRPr="00644568">
        <w:rPr>
          <w:rFonts w:asciiTheme="minorHAnsi" w:hAnsiTheme="minorHAnsi" w:cstheme="minorHAnsi"/>
          <w:color w:val="F69E00"/>
        </w:rPr>
        <w:t>Monitoring and reporting</w:t>
      </w:r>
    </w:p>
    <w:p w14:paraId="589823FC" w14:textId="46D581B5" w:rsidR="003B42C9" w:rsidRPr="00BA0BD0" w:rsidRDefault="003B42C9" w:rsidP="003B42C9">
      <w:r w:rsidRPr="00BA0BD0">
        <w:t xml:space="preserve">All Waka Kotahi </w:t>
      </w:r>
      <w:hyperlink r:id="rId63" w:history="1">
        <w:r w:rsidRPr="00BA0BD0">
          <w:rPr>
            <w:rStyle w:val="Hyperlink"/>
          </w:rPr>
          <w:t>investment decisions</w:t>
        </w:r>
      </w:hyperlink>
      <w:r w:rsidRPr="00BA0BD0">
        <w:t xml:space="preserve"> (new approvals) and post-implementation (benefit realisation) reviews are published online. In </w:t>
      </w:r>
      <w:r w:rsidR="00281DEC">
        <w:t>2019/20</w:t>
      </w:r>
      <w:r w:rsidRPr="00BA0BD0">
        <w:t xml:space="preserve">, Waka Kotahi published </w:t>
      </w:r>
      <w:r w:rsidR="00281DEC">
        <w:t>522</w:t>
      </w:r>
      <w:r w:rsidR="00281DEC" w:rsidRPr="00BA0BD0">
        <w:t xml:space="preserve"> </w:t>
      </w:r>
      <w:r w:rsidRPr="00BA0BD0">
        <w:t xml:space="preserve">investment decisions and </w:t>
      </w:r>
      <w:hyperlink r:id="rId64" w:history="1">
        <w:r w:rsidR="00281DEC">
          <w:rPr>
            <w:rStyle w:val="Hyperlink"/>
          </w:rPr>
          <w:t xml:space="preserve">one </w:t>
        </w:r>
        <w:r w:rsidRPr="00BA0BD0">
          <w:rPr>
            <w:rStyle w:val="Hyperlink"/>
          </w:rPr>
          <w:t>post-implementation review</w:t>
        </w:r>
      </w:hyperlink>
      <w:r w:rsidR="00644568">
        <w:t xml:space="preserve"> on their website. </w:t>
      </w:r>
    </w:p>
    <w:p w14:paraId="5FA95D4D" w14:textId="77777777" w:rsidR="003B42C9" w:rsidRPr="00644568" w:rsidRDefault="009F6677" w:rsidP="003B42C9">
      <w:pPr>
        <w:rPr>
          <w:rFonts w:asciiTheme="minorHAnsi" w:hAnsiTheme="minorHAnsi" w:cstheme="minorHAnsi"/>
          <w:b/>
          <w:color w:val="F69E00"/>
          <w:sz w:val="24"/>
        </w:rPr>
      </w:pPr>
      <w:r w:rsidRPr="009F6677">
        <w:rPr>
          <w:rFonts w:eastAsiaTheme="majorEastAsia"/>
          <w:noProof/>
          <w:color w:val="2E74B5" w:themeColor="accent1" w:themeShade="BF"/>
          <w:sz w:val="32"/>
          <w:szCs w:val="32"/>
          <w:lang w:eastAsia="en-NZ"/>
        </w:rPr>
        <mc:AlternateContent>
          <mc:Choice Requires="wps">
            <w:drawing>
              <wp:anchor distT="45720" distB="45720" distL="114300" distR="114300" simplePos="0" relativeHeight="251678720" behindDoc="0" locked="0" layoutInCell="1" allowOverlap="1" wp14:anchorId="285318A5" wp14:editId="0EC16730">
                <wp:simplePos x="0" y="0"/>
                <wp:positionH relativeFrom="margin">
                  <wp:posOffset>-5080</wp:posOffset>
                </wp:positionH>
                <wp:positionV relativeFrom="paragraph">
                  <wp:posOffset>1021715</wp:posOffset>
                </wp:positionV>
                <wp:extent cx="6636385" cy="436880"/>
                <wp:effectExtent l="0" t="0" r="12065" b="2032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6385" cy="436880"/>
                        </a:xfrm>
                        <a:prstGeom prst="rect">
                          <a:avLst/>
                        </a:prstGeom>
                        <a:solidFill>
                          <a:schemeClr val="bg2">
                            <a:lumMod val="90000"/>
                          </a:schemeClr>
                        </a:solidFill>
                        <a:ln w="9525">
                          <a:solidFill>
                            <a:schemeClr val="tx1"/>
                          </a:solidFill>
                          <a:miter lim="800000"/>
                          <a:headEnd/>
                          <a:tailEnd/>
                        </a:ln>
                      </wps:spPr>
                      <wps:txbx>
                        <w:txbxContent>
                          <w:p w14:paraId="70A41158" w14:textId="77777777" w:rsidR="00BC0FB3" w:rsidRPr="009F6677" w:rsidRDefault="00BC0FB3" w:rsidP="009F6677">
                            <w:pPr>
                              <w:pStyle w:val="BodyText"/>
                              <w:spacing w:before="120" w:after="120"/>
                              <w:rPr>
                                <w:rFonts w:asciiTheme="minorHAnsi" w:hAnsiTheme="minorHAnsi"/>
                                <w:sz w:val="16"/>
                              </w:rPr>
                            </w:pPr>
                            <w:r w:rsidRPr="009F6677">
                              <w:rPr>
                                <w:rFonts w:asciiTheme="minorHAnsi" w:hAnsiTheme="minorHAnsi"/>
                                <w:i/>
                                <w:sz w:val="16"/>
                              </w:rPr>
                              <w:t>Data source</w:t>
                            </w:r>
                            <w:r w:rsidRPr="009F6677">
                              <w:rPr>
                                <w:rFonts w:asciiTheme="minorHAnsi" w:hAnsiTheme="minorHAnsi"/>
                                <w:sz w:val="16"/>
                              </w:rPr>
                              <w:t>: Waka Kotahi. The Transport Evidence Based Strategy (an update of the Transport Research Strategy) is considered in the development and approval of all Sector Research Programme research projects.</w:t>
                            </w:r>
                          </w:p>
                          <w:p w14:paraId="613A5ED1" w14:textId="77777777" w:rsidR="00BC0FB3" w:rsidRPr="009F6677" w:rsidRDefault="00BC0FB3" w:rsidP="009F6677">
                            <w:pPr>
                              <w:rPr>
                                <w:rFonts w:asciiTheme="minorHAnsi" w:hAnsiTheme="minorHAnsi"/>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318A5" id="_x0000_s1036" type="#_x0000_t202" style="position:absolute;margin-left:-.4pt;margin-top:80.45pt;width:522.55pt;height:34.4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" fillcolor="#cfcdcd [2894]" strokecolor="black [3213]">
                <v:textbox>
                  <w:txbxContent>
                    <w:p w14:paraId="70A41158" w14:textId="77777777" w:rsidR="00BC0FB3" w:rsidRPr="009F6677" w:rsidRDefault="00BC0FB3" w:rsidP="009F6677">
                      <w:pPr>
                        <w:pStyle w:val="BodyText"/>
                        <w:spacing w:before="120" w:after="120"/>
                        <w:rPr>
                          <w:rFonts w:asciiTheme="minorHAnsi" w:hAnsiTheme="minorHAnsi"/>
                          <w:sz w:val="16"/>
                        </w:rPr>
                      </w:pPr>
                      <w:r w:rsidRPr="009F6677">
                        <w:rPr>
                          <w:rFonts w:asciiTheme="minorHAnsi" w:hAnsiTheme="minorHAnsi"/>
                          <w:i/>
                          <w:sz w:val="16"/>
                        </w:rPr>
                        <w:t>Data source</w:t>
                      </w:r>
                      <w:r w:rsidRPr="009F6677">
                        <w:rPr>
                          <w:rFonts w:asciiTheme="minorHAnsi" w:hAnsiTheme="minorHAnsi"/>
                          <w:sz w:val="16"/>
                        </w:rPr>
                        <w:t>: Waka Kotahi. The Transport Evidence Based Strategy (an update of the Transport Research Strategy) is considered in the development and approval of all Sector Research Programme research projects.</w:t>
                      </w:r>
                    </w:p>
                    <w:p w14:paraId="613A5ED1" w14:textId="77777777" w:rsidR="00BC0FB3" w:rsidRPr="009F6677" w:rsidRDefault="00BC0FB3" w:rsidP="009F6677">
                      <w:pPr>
                        <w:rPr>
                          <w:rFonts w:asciiTheme="minorHAnsi" w:hAnsiTheme="minorHAnsi"/>
                          <w:sz w:val="20"/>
                        </w:rPr>
                      </w:pPr>
                    </w:p>
                  </w:txbxContent>
                </v:textbox>
                <w10:wrap type="square" anchorx="margin"/>
              </v:shape>
            </w:pict>
          </mc:Fallback>
        </mc:AlternateContent>
      </w:r>
      <w:r w:rsidR="003B42C9" w:rsidRPr="00644568">
        <w:rPr>
          <w:rFonts w:asciiTheme="minorHAnsi" w:hAnsiTheme="minorHAnsi" w:cstheme="minorHAnsi"/>
          <w:b/>
          <w:color w:val="F69E00"/>
          <w:sz w:val="24"/>
        </w:rPr>
        <w:t xml:space="preserve">% alignment of funded research to the NZ Transport Research Strategy </w:t>
      </w:r>
    </w:p>
    <w:tbl>
      <w:tblPr>
        <w:tblStyle w:val="GridTable4-Accent1"/>
        <w:tblW w:w="5000" w:type="pct"/>
        <w:tblLook w:val="04A0" w:firstRow="1" w:lastRow="0" w:firstColumn="1" w:lastColumn="0" w:noHBand="0" w:noVBand="1"/>
      </w:tblPr>
      <w:tblGrid>
        <w:gridCol w:w="3486"/>
        <w:gridCol w:w="3486"/>
        <w:gridCol w:w="3484"/>
      </w:tblGrid>
      <w:tr w:rsidR="003B42C9" w:rsidRPr="00BA0BD0" w14:paraId="752A256E" w14:textId="77777777" w:rsidTr="00644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F69E00"/>
          </w:tcPr>
          <w:p w14:paraId="7F6D3C3E" w14:textId="77777777" w:rsidR="003B42C9" w:rsidRPr="009766A7" w:rsidRDefault="003B42C9" w:rsidP="003B42C9">
            <w:pPr>
              <w:pStyle w:val="BodyText"/>
              <w:ind w:right="-28"/>
            </w:pPr>
          </w:p>
        </w:tc>
        <w:tc>
          <w:tcPr>
            <w:tcW w:w="1667" w:type="pct"/>
            <w:shd w:val="clear" w:color="auto" w:fill="F69E00"/>
          </w:tcPr>
          <w:p w14:paraId="1CAD1E98" w14:textId="77777777" w:rsidR="003B42C9" w:rsidRPr="009766A7" w:rsidRDefault="003B42C9" w:rsidP="003B42C9">
            <w:pPr>
              <w:pStyle w:val="BodyText"/>
              <w:ind w:right="-28"/>
              <w:jc w:val="center"/>
              <w:cnfStyle w:val="100000000000" w:firstRow="1" w:lastRow="0" w:firstColumn="0" w:lastColumn="0" w:oddVBand="0" w:evenVBand="0" w:oddHBand="0" w:evenHBand="0" w:firstRowFirstColumn="0" w:firstRowLastColumn="0" w:lastRowFirstColumn="0" w:lastRowLastColumn="0"/>
            </w:pPr>
            <w:r w:rsidRPr="009766A7">
              <w:t>2018/19</w:t>
            </w:r>
          </w:p>
        </w:tc>
        <w:tc>
          <w:tcPr>
            <w:tcW w:w="1666" w:type="pct"/>
            <w:shd w:val="clear" w:color="auto" w:fill="F69E00"/>
          </w:tcPr>
          <w:p w14:paraId="387B81AA" w14:textId="77777777" w:rsidR="003B42C9" w:rsidRPr="009766A7" w:rsidRDefault="003B42C9" w:rsidP="003B42C9">
            <w:pPr>
              <w:pStyle w:val="BodyText"/>
              <w:ind w:right="-28"/>
              <w:jc w:val="center"/>
              <w:cnfStyle w:val="100000000000" w:firstRow="1" w:lastRow="0" w:firstColumn="0" w:lastColumn="0" w:oddVBand="0" w:evenVBand="0" w:oddHBand="0" w:evenHBand="0" w:firstRowFirstColumn="0" w:firstRowLastColumn="0" w:lastRowFirstColumn="0" w:lastRowLastColumn="0"/>
            </w:pPr>
            <w:r w:rsidRPr="009766A7">
              <w:t>2019/20</w:t>
            </w:r>
          </w:p>
        </w:tc>
      </w:tr>
      <w:tr w:rsidR="003B42C9" w:rsidRPr="00BA0BD0" w14:paraId="0B9F7A64" w14:textId="77777777" w:rsidTr="00644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FFDD9F"/>
          </w:tcPr>
          <w:p w14:paraId="6CEAE285" w14:textId="77777777" w:rsidR="003B42C9" w:rsidRPr="009766A7" w:rsidRDefault="003B42C9" w:rsidP="003B42C9">
            <w:pPr>
              <w:pStyle w:val="BodyText"/>
              <w:ind w:right="-28"/>
              <w:rPr>
                <w:b w:val="0"/>
              </w:rPr>
            </w:pPr>
            <w:r w:rsidRPr="009766A7">
              <w:rPr>
                <w:b w:val="0"/>
              </w:rPr>
              <w:t>% alignment of funded research to the NZ Transport Research Strategy</w:t>
            </w:r>
          </w:p>
        </w:tc>
        <w:tc>
          <w:tcPr>
            <w:tcW w:w="1667" w:type="pct"/>
            <w:shd w:val="clear" w:color="auto" w:fill="FFDD9F"/>
          </w:tcPr>
          <w:p w14:paraId="0A01085F" w14:textId="77777777" w:rsidR="003B42C9" w:rsidRPr="009766A7" w:rsidRDefault="003B42C9" w:rsidP="003B42C9">
            <w:pPr>
              <w:pStyle w:val="BodyText"/>
              <w:ind w:right="-28"/>
              <w:jc w:val="center"/>
              <w:cnfStyle w:val="000000100000" w:firstRow="0" w:lastRow="0" w:firstColumn="0" w:lastColumn="0" w:oddVBand="0" w:evenVBand="0" w:oddHBand="1" w:evenHBand="0" w:firstRowFirstColumn="0" w:firstRowLastColumn="0" w:lastRowFirstColumn="0" w:lastRowLastColumn="0"/>
            </w:pPr>
            <w:r w:rsidRPr="009766A7">
              <w:t>100%</w:t>
            </w:r>
          </w:p>
        </w:tc>
        <w:tc>
          <w:tcPr>
            <w:tcW w:w="1666" w:type="pct"/>
            <w:shd w:val="clear" w:color="auto" w:fill="FFDD9F"/>
          </w:tcPr>
          <w:p w14:paraId="64AAE852" w14:textId="77777777" w:rsidR="003B42C9" w:rsidRPr="009766A7" w:rsidRDefault="003B42C9" w:rsidP="003B42C9">
            <w:pPr>
              <w:pStyle w:val="BodyText"/>
              <w:ind w:right="-28"/>
              <w:jc w:val="center"/>
              <w:cnfStyle w:val="000000100000" w:firstRow="0" w:lastRow="0" w:firstColumn="0" w:lastColumn="0" w:oddVBand="0" w:evenVBand="0" w:oddHBand="1" w:evenHBand="0" w:firstRowFirstColumn="0" w:firstRowLastColumn="0" w:lastRowFirstColumn="0" w:lastRowLastColumn="0"/>
            </w:pPr>
            <w:r w:rsidRPr="009766A7">
              <w:t>100%</w:t>
            </w:r>
          </w:p>
        </w:tc>
      </w:tr>
    </w:tbl>
    <w:p w14:paraId="002717B0" w14:textId="77777777" w:rsidR="003B42C9" w:rsidRPr="00BA0BD0" w:rsidRDefault="003B42C9" w:rsidP="003B42C9">
      <w:pPr>
        <w:rPr>
          <w:b/>
        </w:rPr>
      </w:pPr>
    </w:p>
    <w:p w14:paraId="76C467BE" w14:textId="4E4B53D8" w:rsidR="003B42C9" w:rsidRDefault="003B42C9" w:rsidP="00644568">
      <w:pPr>
        <w:pStyle w:val="Heading1"/>
        <w:ind w:left="0"/>
        <w:rPr>
          <w:rStyle w:val="Strong"/>
          <w:rFonts w:asciiTheme="minorHAnsi" w:hAnsiTheme="minorHAnsi" w:cstheme="minorHAnsi"/>
          <w:bCs/>
          <w:color w:val="F69E00"/>
          <w:sz w:val="24"/>
        </w:rPr>
      </w:pPr>
      <w:r w:rsidRPr="00644568">
        <w:rPr>
          <w:rStyle w:val="Strong"/>
          <w:rFonts w:asciiTheme="minorHAnsi" w:hAnsiTheme="minorHAnsi" w:cstheme="minorHAnsi"/>
          <w:bCs/>
          <w:color w:val="F69E00"/>
          <w:sz w:val="24"/>
        </w:rPr>
        <w:t>Improved returns from road maintenance</w:t>
      </w:r>
    </w:p>
    <w:p w14:paraId="10ABA8CA" w14:textId="77777777" w:rsidR="00B45D8C" w:rsidRDefault="00B45D8C" w:rsidP="00B45D8C">
      <w:pPr>
        <w:pStyle w:val="Heading1"/>
        <w:ind w:left="0"/>
        <w:rPr>
          <w:rStyle w:val="Strong"/>
          <w:rFonts w:ascii="Arial" w:eastAsiaTheme="minorHAnsi" w:hAnsi="Arial" w:cs="Arial"/>
          <w:bCs/>
          <w:color w:val="538135" w:themeColor="accent6" w:themeShade="BF"/>
          <w:sz w:val="22"/>
          <w:szCs w:val="22"/>
          <w:lang w:eastAsia="en-US" w:bidi="ar-SA"/>
        </w:rPr>
      </w:pPr>
    </w:p>
    <w:p w14:paraId="6DC5DADD" w14:textId="52EB82E4" w:rsidR="00B45D8C" w:rsidRPr="0097280C" w:rsidRDefault="00B45D8C" w:rsidP="00B45D8C">
      <w:pPr>
        <w:pStyle w:val="Heading1"/>
        <w:ind w:left="0"/>
        <w:rPr>
          <w:rStyle w:val="Strong"/>
          <w:rFonts w:ascii="Arial" w:eastAsiaTheme="minorHAnsi" w:hAnsi="Arial" w:cs="Arial"/>
          <w:bCs/>
          <w:color w:val="auto"/>
          <w:sz w:val="22"/>
          <w:szCs w:val="22"/>
          <w:lang w:eastAsia="en-US" w:bidi="ar-SA"/>
        </w:rPr>
      </w:pPr>
      <w:r w:rsidRPr="0097280C">
        <w:rPr>
          <w:rStyle w:val="Strong"/>
          <w:rFonts w:ascii="Arial" w:eastAsiaTheme="minorHAnsi" w:hAnsi="Arial" w:cs="Arial"/>
          <w:bCs/>
          <w:color w:val="auto"/>
          <w:sz w:val="22"/>
          <w:szCs w:val="22"/>
          <w:lang w:eastAsia="en-US" w:bidi="ar-SA"/>
        </w:rPr>
        <w:t xml:space="preserve">The cost to maintain the state highway network and local roads continue to increase in part due to the </w:t>
      </w:r>
      <w:r w:rsidR="00947F08" w:rsidRPr="0097280C">
        <w:rPr>
          <w:rStyle w:val="Strong"/>
          <w:rFonts w:ascii="Arial" w:eastAsiaTheme="minorHAnsi" w:hAnsi="Arial" w:cs="Arial"/>
          <w:bCs/>
          <w:color w:val="auto"/>
          <w:sz w:val="22"/>
          <w:szCs w:val="22"/>
          <w:lang w:eastAsia="en-US" w:bidi="ar-SA"/>
        </w:rPr>
        <w:t xml:space="preserve">cost </w:t>
      </w:r>
      <w:r w:rsidRPr="0097280C">
        <w:rPr>
          <w:rStyle w:val="Strong"/>
          <w:rFonts w:ascii="Arial" w:eastAsiaTheme="minorHAnsi" w:hAnsi="Arial" w:cs="Arial"/>
          <w:bCs/>
          <w:color w:val="auto"/>
          <w:sz w:val="22"/>
          <w:szCs w:val="22"/>
          <w:lang w:eastAsia="en-US" w:bidi="ar-SA"/>
        </w:rPr>
        <w:t>increase</w:t>
      </w:r>
      <w:r w:rsidR="00947F08" w:rsidRPr="0097280C">
        <w:rPr>
          <w:rStyle w:val="Strong"/>
          <w:rFonts w:ascii="Arial" w:eastAsiaTheme="minorHAnsi" w:hAnsi="Arial" w:cs="Arial"/>
          <w:bCs/>
          <w:color w:val="auto"/>
          <w:sz w:val="22"/>
          <w:szCs w:val="22"/>
          <w:lang w:eastAsia="en-US" w:bidi="ar-SA"/>
        </w:rPr>
        <w:t>s</w:t>
      </w:r>
      <w:r w:rsidRPr="0097280C">
        <w:rPr>
          <w:rStyle w:val="Strong"/>
          <w:rFonts w:ascii="Arial" w:eastAsiaTheme="minorHAnsi" w:hAnsi="Arial" w:cs="Arial"/>
          <w:bCs/>
          <w:color w:val="auto"/>
          <w:sz w:val="22"/>
          <w:szCs w:val="22"/>
          <w:lang w:eastAsia="en-US" w:bidi="ar-SA"/>
        </w:rPr>
        <w:t xml:space="preserve"> in labour and materials</w:t>
      </w:r>
      <w:r w:rsidR="00733026" w:rsidRPr="0097280C">
        <w:rPr>
          <w:rStyle w:val="Strong"/>
          <w:rFonts w:ascii="Arial" w:eastAsiaTheme="minorHAnsi" w:hAnsi="Arial" w:cs="Arial"/>
          <w:bCs/>
          <w:color w:val="auto"/>
          <w:sz w:val="22"/>
          <w:szCs w:val="22"/>
          <w:lang w:eastAsia="en-US" w:bidi="ar-SA"/>
        </w:rPr>
        <w:t xml:space="preserve">, </w:t>
      </w:r>
      <w:r w:rsidRPr="0097280C">
        <w:rPr>
          <w:rStyle w:val="Strong"/>
          <w:rFonts w:ascii="Arial" w:eastAsiaTheme="minorHAnsi" w:hAnsi="Arial" w:cs="Arial"/>
          <w:bCs/>
          <w:color w:val="auto"/>
          <w:sz w:val="22"/>
          <w:szCs w:val="22"/>
          <w:lang w:eastAsia="en-US" w:bidi="ar-SA"/>
        </w:rPr>
        <w:t xml:space="preserve">the condition of the network and the impact of </w:t>
      </w:r>
      <w:r w:rsidR="00733026" w:rsidRPr="0097280C">
        <w:rPr>
          <w:rStyle w:val="Strong"/>
          <w:rFonts w:ascii="Arial" w:eastAsiaTheme="minorHAnsi" w:hAnsi="Arial" w:cs="Arial"/>
          <w:bCs/>
          <w:color w:val="auto"/>
          <w:sz w:val="22"/>
          <w:szCs w:val="22"/>
          <w:lang w:eastAsia="en-US" w:bidi="ar-SA"/>
        </w:rPr>
        <w:t>COVID</w:t>
      </w:r>
      <w:r w:rsidRPr="0097280C">
        <w:rPr>
          <w:rStyle w:val="Strong"/>
          <w:rFonts w:ascii="Arial" w:eastAsiaTheme="minorHAnsi" w:hAnsi="Arial" w:cs="Arial"/>
          <w:bCs/>
          <w:color w:val="auto"/>
          <w:sz w:val="22"/>
          <w:szCs w:val="22"/>
          <w:lang w:eastAsia="en-US" w:bidi="ar-SA"/>
        </w:rPr>
        <w:t xml:space="preserve">-19 </w:t>
      </w:r>
      <w:r w:rsidR="00733026" w:rsidRPr="0097280C">
        <w:rPr>
          <w:rStyle w:val="Strong"/>
          <w:rFonts w:ascii="Arial" w:eastAsiaTheme="minorHAnsi" w:hAnsi="Arial" w:cs="Arial"/>
          <w:bCs/>
          <w:color w:val="auto"/>
          <w:sz w:val="22"/>
          <w:szCs w:val="22"/>
          <w:lang w:eastAsia="en-US" w:bidi="ar-SA"/>
        </w:rPr>
        <w:t>(</w:t>
      </w:r>
      <w:r w:rsidRPr="0097280C">
        <w:rPr>
          <w:rStyle w:val="Strong"/>
          <w:rFonts w:ascii="Arial" w:eastAsiaTheme="minorHAnsi" w:hAnsi="Arial" w:cs="Arial"/>
          <w:bCs/>
          <w:color w:val="auto"/>
          <w:sz w:val="22"/>
          <w:szCs w:val="22"/>
          <w:lang w:eastAsia="en-US" w:bidi="ar-SA"/>
        </w:rPr>
        <w:t xml:space="preserve">the need to set up </w:t>
      </w:r>
      <w:r w:rsidR="00733026" w:rsidRPr="0097280C">
        <w:rPr>
          <w:rStyle w:val="Strong"/>
          <w:rFonts w:ascii="Arial" w:eastAsiaTheme="minorHAnsi" w:hAnsi="Arial" w:cs="Arial"/>
          <w:bCs/>
          <w:color w:val="auto"/>
          <w:sz w:val="22"/>
          <w:szCs w:val="22"/>
          <w:lang w:eastAsia="en-US" w:bidi="ar-SA"/>
        </w:rPr>
        <w:t>roadblocks)</w:t>
      </w:r>
      <w:r w:rsidRPr="0097280C">
        <w:rPr>
          <w:rStyle w:val="Strong"/>
          <w:rFonts w:ascii="Arial" w:eastAsiaTheme="minorHAnsi" w:hAnsi="Arial" w:cs="Arial"/>
          <w:bCs/>
          <w:color w:val="auto"/>
          <w:sz w:val="22"/>
          <w:szCs w:val="22"/>
          <w:lang w:eastAsia="en-US" w:bidi="ar-SA"/>
        </w:rPr>
        <w:t xml:space="preserve">. </w:t>
      </w:r>
    </w:p>
    <w:p w14:paraId="5A6A421A" w14:textId="77777777" w:rsidR="00B45D8C" w:rsidRPr="0097280C" w:rsidRDefault="00B45D8C" w:rsidP="00B45D8C">
      <w:pPr>
        <w:pStyle w:val="Heading1"/>
        <w:ind w:left="0"/>
        <w:rPr>
          <w:rStyle w:val="Strong"/>
          <w:rFonts w:ascii="Arial" w:eastAsiaTheme="minorHAnsi" w:hAnsi="Arial" w:cs="Arial"/>
          <w:bCs/>
          <w:color w:val="auto"/>
          <w:sz w:val="22"/>
          <w:szCs w:val="22"/>
          <w:lang w:eastAsia="en-US" w:bidi="ar-SA"/>
        </w:rPr>
      </w:pPr>
    </w:p>
    <w:p w14:paraId="3976B5FD" w14:textId="63F3BEBD" w:rsidR="00B45D8C" w:rsidRDefault="00B45D8C" w:rsidP="00B45D8C">
      <w:pPr>
        <w:pStyle w:val="Heading1"/>
        <w:ind w:left="0"/>
        <w:rPr>
          <w:rStyle w:val="Strong"/>
          <w:rFonts w:ascii="Arial" w:eastAsiaTheme="minorHAnsi" w:hAnsi="Arial" w:cs="Arial"/>
          <w:bCs/>
          <w:color w:val="538135" w:themeColor="accent6" w:themeShade="BF"/>
          <w:sz w:val="22"/>
          <w:szCs w:val="22"/>
          <w:lang w:eastAsia="en-US" w:bidi="ar-SA"/>
        </w:rPr>
      </w:pPr>
      <w:r w:rsidRPr="0097280C">
        <w:rPr>
          <w:rStyle w:val="Strong"/>
          <w:rFonts w:ascii="Arial" w:eastAsiaTheme="minorHAnsi" w:hAnsi="Arial" w:cs="Arial"/>
          <w:bCs/>
          <w:color w:val="auto"/>
          <w:sz w:val="22"/>
          <w:szCs w:val="22"/>
          <w:lang w:eastAsia="en-US" w:bidi="ar-SA"/>
        </w:rPr>
        <w:t xml:space="preserve">The </w:t>
      </w:r>
      <w:r w:rsidR="00733026" w:rsidRPr="0097280C">
        <w:rPr>
          <w:rStyle w:val="Strong"/>
          <w:rFonts w:ascii="Arial" w:eastAsiaTheme="minorHAnsi" w:hAnsi="Arial" w:cs="Arial"/>
          <w:bCs/>
          <w:color w:val="auto"/>
          <w:sz w:val="22"/>
          <w:szCs w:val="22"/>
          <w:lang w:eastAsia="en-US" w:bidi="ar-SA"/>
        </w:rPr>
        <w:t xml:space="preserve">unusual dip </w:t>
      </w:r>
      <w:r w:rsidRPr="0097280C">
        <w:rPr>
          <w:rStyle w:val="Strong"/>
          <w:rFonts w:ascii="Arial" w:eastAsiaTheme="minorHAnsi" w:hAnsi="Arial" w:cs="Arial"/>
          <w:bCs/>
          <w:color w:val="auto"/>
          <w:sz w:val="22"/>
          <w:szCs w:val="22"/>
          <w:lang w:eastAsia="en-US" w:bidi="ar-SA"/>
        </w:rPr>
        <w:t xml:space="preserve">on </w:t>
      </w:r>
      <w:r w:rsidR="00733026" w:rsidRPr="0097280C">
        <w:rPr>
          <w:rStyle w:val="Strong"/>
          <w:rFonts w:ascii="Arial" w:eastAsiaTheme="minorHAnsi" w:hAnsi="Arial" w:cs="Arial"/>
          <w:bCs/>
          <w:color w:val="auto"/>
          <w:sz w:val="22"/>
          <w:szCs w:val="22"/>
          <w:lang w:eastAsia="en-US" w:bidi="ar-SA"/>
        </w:rPr>
        <w:t xml:space="preserve">state highway </w:t>
      </w:r>
      <w:r w:rsidRPr="0097280C">
        <w:rPr>
          <w:rStyle w:val="Strong"/>
          <w:rFonts w:ascii="Arial" w:eastAsiaTheme="minorHAnsi" w:hAnsi="Arial" w:cs="Arial"/>
          <w:bCs/>
          <w:color w:val="auto"/>
          <w:sz w:val="22"/>
          <w:szCs w:val="22"/>
          <w:lang w:eastAsia="en-US" w:bidi="ar-SA"/>
        </w:rPr>
        <w:t xml:space="preserve">maintenance activities </w:t>
      </w:r>
      <w:r w:rsidR="00947F08" w:rsidRPr="0097280C">
        <w:rPr>
          <w:rStyle w:val="Strong"/>
          <w:rFonts w:ascii="Arial" w:eastAsiaTheme="minorHAnsi" w:hAnsi="Arial" w:cs="Arial"/>
          <w:bCs/>
          <w:color w:val="auto"/>
          <w:sz w:val="22"/>
          <w:szCs w:val="22"/>
          <w:lang w:eastAsia="en-US" w:bidi="ar-SA"/>
        </w:rPr>
        <w:t xml:space="preserve">last year in </w:t>
      </w:r>
      <w:r w:rsidR="00733026" w:rsidRPr="0097280C">
        <w:rPr>
          <w:rStyle w:val="Strong"/>
          <w:rFonts w:ascii="Arial" w:eastAsiaTheme="minorHAnsi" w:hAnsi="Arial" w:cs="Arial"/>
          <w:bCs/>
          <w:color w:val="auto"/>
          <w:sz w:val="22"/>
          <w:szCs w:val="22"/>
          <w:lang w:eastAsia="en-US" w:bidi="ar-SA"/>
        </w:rPr>
        <w:t xml:space="preserve">2018/19 was </w:t>
      </w:r>
      <w:r w:rsidRPr="0097280C">
        <w:rPr>
          <w:rStyle w:val="Strong"/>
          <w:rFonts w:ascii="Arial" w:eastAsiaTheme="minorHAnsi" w:hAnsi="Arial" w:cs="Arial"/>
          <w:bCs/>
          <w:color w:val="auto"/>
          <w:sz w:val="22"/>
          <w:szCs w:val="22"/>
          <w:lang w:eastAsia="en-US" w:bidi="ar-SA"/>
        </w:rPr>
        <w:t xml:space="preserve">mainly </w:t>
      </w:r>
      <w:r w:rsidR="00733026" w:rsidRPr="0097280C">
        <w:rPr>
          <w:rStyle w:val="Strong"/>
          <w:rFonts w:ascii="Arial" w:eastAsiaTheme="minorHAnsi" w:hAnsi="Arial" w:cs="Arial"/>
          <w:bCs/>
          <w:color w:val="auto"/>
          <w:sz w:val="22"/>
          <w:szCs w:val="22"/>
          <w:lang w:eastAsia="en-US" w:bidi="ar-SA"/>
        </w:rPr>
        <w:t xml:space="preserve">driven </w:t>
      </w:r>
      <w:r w:rsidRPr="0097280C">
        <w:rPr>
          <w:rStyle w:val="Strong"/>
          <w:rFonts w:ascii="Arial" w:eastAsiaTheme="minorHAnsi" w:hAnsi="Arial" w:cs="Arial"/>
          <w:bCs/>
          <w:color w:val="auto"/>
          <w:sz w:val="22"/>
          <w:szCs w:val="22"/>
          <w:lang w:eastAsia="en-US" w:bidi="ar-SA"/>
        </w:rPr>
        <w:t xml:space="preserve">by the impact of the closure SH1 following </w:t>
      </w:r>
      <w:r w:rsidR="00733026" w:rsidRPr="0097280C">
        <w:rPr>
          <w:rStyle w:val="Strong"/>
          <w:rFonts w:ascii="Arial" w:eastAsiaTheme="minorHAnsi" w:hAnsi="Arial" w:cs="Arial"/>
          <w:bCs/>
          <w:color w:val="auto"/>
          <w:sz w:val="22"/>
          <w:szCs w:val="22"/>
          <w:lang w:eastAsia="en-US" w:bidi="ar-SA"/>
        </w:rPr>
        <w:t xml:space="preserve">the </w:t>
      </w:r>
      <w:r w:rsidR="000944DA" w:rsidRPr="0097280C">
        <w:rPr>
          <w:rStyle w:val="Strong"/>
          <w:rFonts w:ascii="Arial" w:eastAsiaTheme="minorHAnsi" w:hAnsi="Arial" w:cs="Arial"/>
          <w:bCs/>
          <w:color w:val="auto"/>
          <w:sz w:val="22"/>
          <w:szCs w:val="22"/>
          <w:lang w:eastAsia="en-US" w:bidi="ar-SA"/>
        </w:rPr>
        <w:t>Kaikōura</w:t>
      </w:r>
      <w:r w:rsidRPr="0097280C">
        <w:rPr>
          <w:rStyle w:val="Strong"/>
          <w:rFonts w:ascii="Arial" w:eastAsiaTheme="minorHAnsi" w:hAnsi="Arial" w:cs="Arial"/>
          <w:bCs/>
          <w:color w:val="auto"/>
          <w:sz w:val="22"/>
          <w:szCs w:val="22"/>
          <w:lang w:eastAsia="en-US" w:bidi="ar-SA"/>
        </w:rPr>
        <w:t xml:space="preserve"> earthquake</w:t>
      </w:r>
      <w:r w:rsidR="00BA5B65" w:rsidRPr="0097280C">
        <w:rPr>
          <w:rStyle w:val="Strong"/>
          <w:rFonts w:ascii="Arial" w:eastAsiaTheme="minorHAnsi" w:hAnsi="Arial" w:cs="Arial"/>
          <w:bCs/>
          <w:color w:val="auto"/>
          <w:sz w:val="22"/>
          <w:szCs w:val="22"/>
          <w:lang w:eastAsia="en-US" w:bidi="ar-SA"/>
        </w:rPr>
        <w:t>,</w:t>
      </w:r>
      <w:r w:rsidRPr="0097280C">
        <w:rPr>
          <w:rStyle w:val="Strong"/>
          <w:rFonts w:ascii="Arial" w:eastAsiaTheme="minorHAnsi" w:hAnsi="Arial" w:cs="Arial"/>
          <w:bCs/>
          <w:color w:val="auto"/>
          <w:sz w:val="22"/>
          <w:szCs w:val="22"/>
          <w:lang w:eastAsia="en-US" w:bidi="ar-SA"/>
        </w:rPr>
        <w:t xml:space="preserve"> as the maintenance of the closed section of </w:t>
      </w:r>
      <w:r w:rsidR="00947F08" w:rsidRPr="0097280C">
        <w:rPr>
          <w:rStyle w:val="Strong"/>
          <w:rFonts w:ascii="Arial" w:eastAsiaTheme="minorHAnsi" w:hAnsi="Arial" w:cs="Arial"/>
          <w:bCs/>
          <w:color w:val="auto"/>
          <w:sz w:val="22"/>
          <w:szCs w:val="22"/>
          <w:lang w:eastAsia="en-US" w:bidi="ar-SA"/>
        </w:rPr>
        <w:t>state highway 1</w:t>
      </w:r>
      <w:r w:rsidRPr="0097280C">
        <w:rPr>
          <w:rStyle w:val="Strong"/>
          <w:rFonts w:ascii="Arial" w:eastAsiaTheme="minorHAnsi" w:hAnsi="Arial" w:cs="Arial"/>
          <w:bCs/>
          <w:color w:val="auto"/>
          <w:sz w:val="22"/>
          <w:szCs w:val="22"/>
          <w:lang w:eastAsia="en-US" w:bidi="ar-SA"/>
        </w:rPr>
        <w:t xml:space="preserve"> and the alternate route </w:t>
      </w:r>
      <w:r w:rsidR="00947F08" w:rsidRPr="0097280C">
        <w:rPr>
          <w:rStyle w:val="Strong"/>
          <w:rFonts w:ascii="Arial" w:eastAsiaTheme="minorHAnsi" w:hAnsi="Arial" w:cs="Arial"/>
          <w:bCs/>
          <w:color w:val="auto"/>
          <w:sz w:val="22"/>
          <w:szCs w:val="22"/>
          <w:lang w:eastAsia="en-US" w:bidi="ar-SA"/>
        </w:rPr>
        <w:t xml:space="preserve">were </w:t>
      </w:r>
      <w:r w:rsidRPr="0097280C">
        <w:rPr>
          <w:rStyle w:val="Strong"/>
          <w:rFonts w:ascii="Arial" w:eastAsiaTheme="minorHAnsi" w:hAnsi="Arial" w:cs="Arial"/>
          <w:bCs/>
          <w:color w:val="auto"/>
          <w:sz w:val="22"/>
          <w:szCs w:val="22"/>
          <w:lang w:eastAsia="en-US" w:bidi="ar-SA"/>
        </w:rPr>
        <w:t xml:space="preserve">not funded from </w:t>
      </w:r>
      <w:r w:rsidR="00733026" w:rsidRPr="0097280C">
        <w:rPr>
          <w:rStyle w:val="Strong"/>
          <w:rFonts w:ascii="Arial" w:eastAsiaTheme="minorHAnsi" w:hAnsi="Arial" w:cs="Arial"/>
          <w:bCs/>
          <w:color w:val="auto"/>
          <w:sz w:val="22"/>
          <w:szCs w:val="22"/>
          <w:lang w:eastAsia="en-US" w:bidi="ar-SA"/>
        </w:rPr>
        <w:t>state highway m</w:t>
      </w:r>
      <w:r w:rsidRPr="0097280C">
        <w:rPr>
          <w:rStyle w:val="Strong"/>
          <w:rFonts w:ascii="Arial" w:eastAsiaTheme="minorHAnsi" w:hAnsi="Arial" w:cs="Arial"/>
          <w:bCs/>
          <w:color w:val="auto"/>
          <w:sz w:val="22"/>
          <w:szCs w:val="22"/>
          <w:lang w:eastAsia="en-US" w:bidi="ar-SA"/>
        </w:rPr>
        <w:t>aintenance activity class.</w:t>
      </w:r>
    </w:p>
    <w:tbl>
      <w:tblPr>
        <w:tblStyle w:val="GridTable4-Accent1"/>
        <w:tblW w:w="0" w:type="auto"/>
        <w:tblLook w:val="04A0" w:firstRow="1" w:lastRow="0" w:firstColumn="1" w:lastColumn="0" w:noHBand="0" w:noVBand="1"/>
      </w:tblPr>
      <w:tblGrid>
        <w:gridCol w:w="5396"/>
        <w:gridCol w:w="1012"/>
        <w:gridCol w:w="1012"/>
        <w:gridCol w:w="1012"/>
        <w:gridCol w:w="1012"/>
        <w:gridCol w:w="1012"/>
      </w:tblGrid>
      <w:tr w:rsidR="003B42C9" w:rsidRPr="00BA0BD0" w14:paraId="500BAEC7" w14:textId="77777777" w:rsidTr="00644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69E00"/>
          </w:tcPr>
          <w:p w14:paraId="67CCD5B0" w14:textId="77777777" w:rsidR="003B42C9" w:rsidRPr="009766A7" w:rsidRDefault="003B42C9" w:rsidP="003B42C9">
            <w:pPr>
              <w:keepNext/>
              <w:jc w:val="center"/>
            </w:pPr>
          </w:p>
        </w:tc>
        <w:tc>
          <w:tcPr>
            <w:tcW w:w="0" w:type="auto"/>
            <w:shd w:val="clear" w:color="auto" w:fill="F69E00"/>
          </w:tcPr>
          <w:p w14:paraId="382EBE4B" w14:textId="77777777" w:rsidR="003B42C9" w:rsidRPr="009766A7" w:rsidRDefault="003B42C9" w:rsidP="003B42C9">
            <w:pPr>
              <w:keepNext/>
              <w:jc w:val="center"/>
              <w:cnfStyle w:val="100000000000" w:firstRow="1" w:lastRow="0" w:firstColumn="0" w:lastColumn="0" w:oddVBand="0" w:evenVBand="0" w:oddHBand="0" w:evenHBand="0" w:firstRowFirstColumn="0" w:firstRowLastColumn="0" w:lastRowFirstColumn="0" w:lastRowLastColumn="0"/>
            </w:pPr>
            <w:r w:rsidRPr="009766A7">
              <w:t>2015/16</w:t>
            </w:r>
          </w:p>
        </w:tc>
        <w:tc>
          <w:tcPr>
            <w:tcW w:w="0" w:type="auto"/>
            <w:shd w:val="clear" w:color="auto" w:fill="F69E00"/>
          </w:tcPr>
          <w:p w14:paraId="744718A9" w14:textId="77777777" w:rsidR="003B42C9" w:rsidRPr="009766A7" w:rsidRDefault="003B42C9" w:rsidP="003B42C9">
            <w:pPr>
              <w:keepNext/>
              <w:jc w:val="center"/>
              <w:cnfStyle w:val="100000000000" w:firstRow="1" w:lastRow="0" w:firstColumn="0" w:lastColumn="0" w:oddVBand="0" w:evenVBand="0" w:oddHBand="0" w:evenHBand="0" w:firstRowFirstColumn="0" w:firstRowLastColumn="0" w:lastRowFirstColumn="0" w:lastRowLastColumn="0"/>
            </w:pPr>
            <w:r w:rsidRPr="009766A7">
              <w:t>2016/17</w:t>
            </w:r>
          </w:p>
        </w:tc>
        <w:tc>
          <w:tcPr>
            <w:tcW w:w="0" w:type="auto"/>
            <w:shd w:val="clear" w:color="auto" w:fill="F69E00"/>
          </w:tcPr>
          <w:p w14:paraId="668A0E4B" w14:textId="77777777" w:rsidR="003B42C9" w:rsidRPr="009766A7" w:rsidRDefault="003B42C9" w:rsidP="003B42C9">
            <w:pPr>
              <w:keepNext/>
              <w:jc w:val="center"/>
              <w:cnfStyle w:val="100000000000" w:firstRow="1" w:lastRow="0" w:firstColumn="0" w:lastColumn="0" w:oddVBand="0" w:evenVBand="0" w:oddHBand="0" w:evenHBand="0" w:firstRowFirstColumn="0" w:firstRowLastColumn="0" w:lastRowFirstColumn="0" w:lastRowLastColumn="0"/>
            </w:pPr>
            <w:r w:rsidRPr="009766A7">
              <w:t>2017/18</w:t>
            </w:r>
          </w:p>
        </w:tc>
        <w:tc>
          <w:tcPr>
            <w:tcW w:w="0" w:type="auto"/>
            <w:shd w:val="clear" w:color="auto" w:fill="F69E00"/>
          </w:tcPr>
          <w:p w14:paraId="595339AC" w14:textId="77777777" w:rsidR="003B42C9" w:rsidRPr="009766A7" w:rsidRDefault="003B42C9" w:rsidP="003B42C9">
            <w:pPr>
              <w:keepNext/>
              <w:jc w:val="center"/>
              <w:cnfStyle w:val="100000000000" w:firstRow="1" w:lastRow="0" w:firstColumn="0" w:lastColumn="0" w:oddVBand="0" w:evenVBand="0" w:oddHBand="0" w:evenHBand="0" w:firstRowFirstColumn="0" w:firstRowLastColumn="0" w:lastRowFirstColumn="0" w:lastRowLastColumn="0"/>
            </w:pPr>
            <w:r w:rsidRPr="009766A7">
              <w:t>2018/19</w:t>
            </w:r>
          </w:p>
        </w:tc>
        <w:tc>
          <w:tcPr>
            <w:tcW w:w="0" w:type="auto"/>
            <w:shd w:val="clear" w:color="auto" w:fill="F69E00"/>
          </w:tcPr>
          <w:p w14:paraId="68D860EF" w14:textId="77777777" w:rsidR="003B42C9" w:rsidRPr="009766A7" w:rsidRDefault="003B42C9" w:rsidP="003B42C9">
            <w:pPr>
              <w:keepNext/>
              <w:jc w:val="center"/>
              <w:cnfStyle w:val="100000000000" w:firstRow="1" w:lastRow="0" w:firstColumn="0" w:lastColumn="0" w:oddVBand="0" w:evenVBand="0" w:oddHBand="0" w:evenHBand="0" w:firstRowFirstColumn="0" w:firstRowLastColumn="0" w:lastRowFirstColumn="0" w:lastRowLastColumn="0"/>
            </w:pPr>
            <w:r w:rsidRPr="009766A7">
              <w:t>2019/20</w:t>
            </w:r>
          </w:p>
        </w:tc>
      </w:tr>
      <w:tr w:rsidR="003B42C9" w:rsidRPr="00BA0BD0" w14:paraId="23036044" w14:textId="77777777" w:rsidTr="008C61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D589"/>
          </w:tcPr>
          <w:p w14:paraId="74B556CC" w14:textId="77777777" w:rsidR="003B42C9" w:rsidRPr="009766A7" w:rsidRDefault="003B42C9" w:rsidP="003B42C9">
            <w:pPr>
              <w:keepNext/>
              <w:jc w:val="center"/>
              <w:rPr>
                <w:b w:val="0"/>
              </w:rPr>
            </w:pPr>
            <w:r w:rsidRPr="009766A7">
              <w:rPr>
                <w:b w:val="0"/>
                <w:color w:val="000000"/>
              </w:rPr>
              <w:t>Maintenance cost per lane kilometre delivered for State highways</w:t>
            </w:r>
          </w:p>
        </w:tc>
        <w:tc>
          <w:tcPr>
            <w:tcW w:w="0" w:type="auto"/>
            <w:shd w:val="clear" w:color="auto" w:fill="FFD589"/>
          </w:tcPr>
          <w:p w14:paraId="6BCFB6FC" w14:textId="77777777" w:rsidR="003B42C9" w:rsidRPr="009766A7" w:rsidRDefault="003B42C9" w:rsidP="003B42C9">
            <w:pPr>
              <w:keepNext/>
              <w:jc w:val="center"/>
              <w:cnfStyle w:val="000000100000" w:firstRow="0" w:lastRow="0" w:firstColumn="0" w:lastColumn="0" w:oddVBand="0" w:evenVBand="0" w:oddHBand="1" w:evenHBand="0" w:firstRowFirstColumn="0" w:firstRowLastColumn="0" w:lastRowFirstColumn="0" w:lastRowLastColumn="0"/>
            </w:pPr>
            <w:r w:rsidRPr="009766A7">
              <w:rPr>
                <w:color w:val="000000"/>
              </w:rPr>
              <w:t>$19,389</w:t>
            </w:r>
          </w:p>
        </w:tc>
        <w:tc>
          <w:tcPr>
            <w:tcW w:w="0" w:type="auto"/>
            <w:shd w:val="clear" w:color="auto" w:fill="FFD589"/>
          </w:tcPr>
          <w:p w14:paraId="1AABCA86" w14:textId="77777777" w:rsidR="003B42C9" w:rsidRPr="009766A7" w:rsidRDefault="003B42C9" w:rsidP="003B42C9">
            <w:pPr>
              <w:keepNext/>
              <w:jc w:val="center"/>
              <w:cnfStyle w:val="000000100000" w:firstRow="0" w:lastRow="0" w:firstColumn="0" w:lastColumn="0" w:oddVBand="0" w:evenVBand="0" w:oddHBand="1" w:evenHBand="0" w:firstRowFirstColumn="0" w:firstRowLastColumn="0" w:lastRowFirstColumn="0" w:lastRowLastColumn="0"/>
            </w:pPr>
            <w:r w:rsidRPr="009766A7">
              <w:rPr>
                <w:color w:val="000000"/>
              </w:rPr>
              <w:t>$19,284</w:t>
            </w:r>
          </w:p>
        </w:tc>
        <w:tc>
          <w:tcPr>
            <w:tcW w:w="0" w:type="auto"/>
            <w:shd w:val="clear" w:color="auto" w:fill="FFD589"/>
          </w:tcPr>
          <w:p w14:paraId="4B853C96" w14:textId="77777777" w:rsidR="003B42C9" w:rsidRPr="009766A7" w:rsidRDefault="003B42C9" w:rsidP="003B42C9">
            <w:pPr>
              <w:keepNext/>
              <w:jc w:val="center"/>
              <w:cnfStyle w:val="000000100000" w:firstRow="0" w:lastRow="0" w:firstColumn="0" w:lastColumn="0" w:oddVBand="0" w:evenVBand="0" w:oddHBand="1" w:evenHBand="0" w:firstRowFirstColumn="0" w:firstRowLastColumn="0" w:lastRowFirstColumn="0" w:lastRowLastColumn="0"/>
            </w:pPr>
            <w:r w:rsidRPr="009766A7">
              <w:rPr>
                <w:color w:val="000000"/>
              </w:rPr>
              <w:t>$24,705</w:t>
            </w:r>
          </w:p>
        </w:tc>
        <w:tc>
          <w:tcPr>
            <w:tcW w:w="0" w:type="auto"/>
            <w:shd w:val="clear" w:color="auto" w:fill="FFD589"/>
          </w:tcPr>
          <w:p w14:paraId="51723263" w14:textId="77777777" w:rsidR="003B42C9" w:rsidRPr="009766A7" w:rsidRDefault="003B42C9" w:rsidP="003B42C9">
            <w:pPr>
              <w:keepNext/>
              <w:jc w:val="center"/>
              <w:cnfStyle w:val="000000100000" w:firstRow="0" w:lastRow="0" w:firstColumn="0" w:lastColumn="0" w:oddVBand="0" w:evenVBand="0" w:oddHBand="1" w:evenHBand="0" w:firstRowFirstColumn="0" w:firstRowLastColumn="0" w:lastRowFirstColumn="0" w:lastRowLastColumn="0"/>
            </w:pPr>
            <w:r w:rsidRPr="009766A7">
              <w:rPr>
                <w:color w:val="000000"/>
              </w:rPr>
              <w:t>$22,997</w:t>
            </w:r>
          </w:p>
        </w:tc>
        <w:tc>
          <w:tcPr>
            <w:tcW w:w="0" w:type="auto"/>
            <w:shd w:val="clear" w:color="auto" w:fill="FFD589"/>
          </w:tcPr>
          <w:p w14:paraId="2503EF63" w14:textId="77777777" w:rsidR="003B42C9" w:rsidRPr="009766A7" w:rsidRDefault="003B42C9" w:rsidP="003B42C9">
            <w:pPr>
              <w:keepNext/>
              <w:jc w:val="center"/>
              <w:cnfStyle w:val="000000100000" w:firstRow="0" w:lastRow="0" w:firstColumn="0" w:lastColumn="0" w:oddVBand="0" w:evenVBand="0" w:oddHBand="1" w:evenHBand="0" w:firstRowFirstColumn="0" w:firstRowLastColumn="0" w:lastRowFirstColumn="0" w:lastRowLastColumn="0"/>
              <w:rPr>
                <w:color w:val="000000"/>
              </w:rPr>
            </w:pPr>
            <w:r w:rsidRPr="009766A7">
              <w:t>$25,352</w:t>
            </w:r>
          </w:p>
        </w:tc>
      </w:tr>
      <w:tr w:rsidR="003B42C9" w:rsidRPr="00BA0BD0" w14:paraId="5EC5831A" w14:textId="77777777" w:rsidTr="003B42C9">
        <w:tc>
          <w:tcPr>
            <w:cnfStyle w:val="001000000000" w:firstRow="0" w:lastRow="0" w:firstColumn="1" w:lastColumn="0" w:oddVBand="0" w:evenVBand="0" w:oddHBand="0" w:evenHBand="0" w:firstRowFirstColumn="0" w:firstRowLastColumn="0" w:lastRowFirstColumn="0" w:lastRowLastColumn="0"/>
            <w:tcW w:w="0" w:type="auto"/>
          </w:tcPr>
          <w:p w14:paraId="7C92DE8C" w14:textId="77777777" w:rsidR="003B42C9" w:rsidRPr="009766A7" w:rsidRDefault="003B42C9" w:rsidP="003B42C9">
            <w:pPr>
              <w:keepNext/>
              <w:jc w:val="center"/>
              <w:rPr>
                <w:b w:val="0"/>
                <w:color w:val="000000"/>
              </w:rPr>
            </w:pPr>
            <w:r w:rsidRPr="009766A7">
              <w:rPr>
                <w:b w:val="0"/>
                <w:color w:val="000000"/>
              </w:rPr>
              <w:t>Maintenance cost per local road lane kilometre delivered</w:t>
            </w:r>
          </w:p>
        </w:tc>
        <w:tc>
          <w:tcPr>
            <w:tcW w:w="0" w:type="auto"/>
          </w:tcPr>
          <w:p w14:paraId="29708F01" w14:textId="77777777" w:rsidR="003B42C9" w:rsidRPr="009766A7" w:rsidRDefault="003B42C9" w:rsidP="003B42C9">
            <w:pPr>
              <w:keepNext/>
              <w:jc w:val="center"/>
              <w:cnfStyle w:val="000000000000" w:firstRow="0" w:lastRow="0" w:firstColumn="0" w:lastColumn="0" w:oddVBand="0" w:evenVBand="0" w:oddHBand="0" w:evenHBand="0" w:firstRowFirstColumn="0" w:firstRowLastColumn="0" w:lastRowFirstColumn="0" w:lastRowLastColumn="0"/>
            </w:pPr>
            <w:r w:rsidRPr="009766A7">
              <w:rPr>
                <w:color w:val="000000"/>
              </w:rPr>
              <w:t>$2,919</w:t>
            </w:r>
          </w:p>
        </w:tc>
        <w:tc>
          <w:tcPr>
            <w:tcW w:w="0" w:type="auto"/>
          </w:tcPr>
          <w:p w14:paraId="5E2AF3CD" w14:textId="77777777" w:rsidR="003B42C9" w:rsidRPr="009766A7" w:rsidRDefault="003B42C9" w:rsidP="003B42C9">
            <w:pPr>
              <w:keepNext/>
              <w:jc w:val="center"/>
              <w:cnfStyle w:val="000000000000" w:firstRow="0" w:lastRow="0" w:firstColumn="0" w:lastColumn="0" w:oddVBand="0" w:evenVBand="0" w:oddHBand="0" w:evenHBand="0" w:firstRowFirstColumn="0" w:firstRowLastColumn="0" w:lastRowFirstColumn="0" w:lastRowLastColumn="0"/>
            </w:pPr>
            <w:r w:rsidRPr="009766A7">
              <w:rPr>
                <w:color w:val="000000"/>
              </w:rPr>
              <w:t>$2,910</w:t>
            </w:r>
          </w:p>
        </w:tc>
        <w:tc>
          <w:tcPr>
            <w:tcW w:w="0" w:type="auto"/>
          </w:tcPr>
          <w:p w14:paraId="30D7E287" w14:textId="77777777" w:rsidR="003B42C9" w:rsidRPr="009766A7" w:rsidRDefault="003B42C9" w:rsidP="003B42C9">
            <w:pPr>
              <w:keepNext/>
              <w:jc w:val="center"/>
              <w:cnfStyle w:val="000000000000" w:firstRow="0" w:lastRow="0" w:firstColumn="0" w:lastColumn="0" w:oddVBand="0" w:evenVBand="0" w:oddHBand="0" w:evenHBand="0" w:firstRowFirstColumn="0" w:firstRowLastColumn="0" w:lastRowFirstColumn="0" w:lastRowLastColumn="0"/>
            </w:pPr>
            <w:r w:rsidRPr="009766A7">
              <w:rPr>
                <w:color w:val="000000"/>
              </w:rPr>
              <w:t>$3,095</w:t>
            </w:r>
          </w:p>
        </w:tc>
        <w:tc>
          <w:tcPr>
            <w:tcW w:w="0" w:type="auto"/>
          </w:tcPr>
          <w:p w14:paraId="651A33D3" w14:textId="77777777" w:rsidR="003B42C9" w:rsidRPr="009766A7" w:rsidRDefault="003B42C9" w:rsidP="003B42C9">
            <w:pPr>
              <w:keepNext/>
              <w:jc w:val="center"/>
              <w:cnfStyle w:val="000000000000" w:firstRow="0" w:lastRow="0" w:firstColumn="0" w:lastColumn="0" w:oddVBand="0" w:evenVBand="0" w:oddHBand="0" w:evenHBand="0" w:firstRowFirstColumn="0" w:firstRowLastColumn="0" w:lastRowFirstColumn="0" w:lastRowLastColumn="0"/>
            </w:pPr>
            <w:r w:rsidRPr="009766A7">
              <w:rPr>
                <w:color w:val="000000"/>
              </w:rPr>
              <w:t>$3,455</w:t>
            </w:r>
          </w:p>
        </w:tc>
        <w:tc>
          <w:tcPr>
            <w:tcW w:w="0" w:type="auto"/>
          </w:tcPr>
          <w:p w14:paraId="39431D3D" w14:textId="77777777" w:rsidR="003B42C9" w:rsidRPr="009766A7" w:rsidRDefault="003B42C9" w:rsidP="003B42C9">
            <w:pPr>
              <w:keepNext/>
              <w:jc w:val="center"/>
              <w:cnfStyle w:val="000000000000" w:firstRow="0" w:lastRow="0" w:firstColumn="0" w:lastColumn="0" w:oddVBand="0" w:evenVBand="0" w:oddHBand="0" w:evenHBand="0" w:firstRowFirstColumn="0" w:firstRowLastColumn="0" w:lastRowFirstColumn="0" w:lastRowLastColumn="0"/>
              <w:rPr>
                <w:color w:val="000000"/>
              </w:rPr>
            </w:pPr>
            <w:r w:rsidRPr="009766A7">
              <w:t>$3,628</w:t>
            </w:r>
          </w:p>
        </w:tc>
      </w:tr>
    </w:tbl>
    <w:p w14:paraId="06A7025B" w14:textId="05FD337C" w:rsidR="008C6117" w:rsidRPr="008C6117" w:rsidRDefault="008C6117" w:rsidP="003B42C9"/>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48"/>
      </w:tblGrid>
      <w:tr w:rsidR="003B42C9" w:rsidRPr="00BA0BD0" w14:paraId="369858DF" w14:textId="77777777" w:rsidTr="009F6677">
        <w:trPr>
          <w:trHeight w:val="1117"/>
        </w:trPr>
        <w:tc>
          <w:tcPr>
            <w:tcW w:w="5000" w:type="pct"/>
            <w:shd w:val="clear" w:color="auto" w:fill="D0CECE" w:themeFill="background2" w:themeFillShade="E6"/>
          </w:tcPr>
          <w:p w14:paraId="6649098F" w14:textId="77777777" w:rsidR="003B42C9" w:rsidRPr="009F6677" w:rsidRDefault="003B42C9" w:rsidP="003B42C9">
            <w:pPr>
              <w:keepNext/>
              <w:rPr>
                <w:rFonts w:asciiTheme="minorHAnsi" w:hAnsiTheme="minorHAnsi"/>
                <w:b/>
                <w:color w:val="000000" w:themeColor="text1"/>
                <w:sz w:val="16"/>
              </w:rPr>
            </w:pPr>
            <w:r w:rsidRPr="009F6677">
              <w:rPr>
                <w:rFonts w:asciiTheme="minorHAnsi" w:hAnsiTheme="minorHAnsi"/>
                <w:b/>
                <w:color w:val="000000" w:themeColor="text1"/>
                <w:sz w:val="16"/>
              </w:rPr>
              <w:t>About these indicators</w:t>
            </w:r>
          </w:p>
          <w:p w14:paraId="1B00940F" w14:textId="77777777" w:rsidR="003B42C9" w:rsidRPr="008C6117" w:rsidRDefault="003B42C9" w:rsidP="003B42C9">
            <w:pPr>
              <w:pStyle w:val="ListParagraph"/>
              <w:keepNext/>
              <w:numPr>
                <w:ilvl w:val="0"/>
                <w:numId w:val="8"/>
              </w:numPr>
              <w:rPr>
                <w:rFonts w:asciiTheme="minorHAnsi" w:hAnsiTheme="minorHAnsi"/>
                <w:bCs/>
                <w:color w:val="000000" w:themeColor="text1"/>
                <w:sz w:val="16"/>
                <w:szCs w:val="16"/>
              </w:rPr>
            </w:pPr>
            <w:r w:rsidRPr="008C6117">
              <w:rPr>
                <w:rFonts w:asciiTheme="minorHAnsi" w:hAnsiTheme="minorHAnsi"/>
                <w:bCs/>
                <w:color w:val="000000" w:themeColor="text1"/>
                <w:sz w:val="16"/>
                <w:szCs w:val="16"/>
              </w:rPr>
              <w:t xml:space="preserve">Maintenance cost per lane kilometre for state highways is adjusted for inflation based on the network outcomes index. </w:t>
            </w:r>
          </w:p>
          <w:p w14:paraId="35AABA77" w14:textId="77777777" w:rsidR="003B42C9" w:rsidRPr="008C6117" w:rsidRDefault="003B42C9" w:rsidP="003B42C9">
            <w:pPr>
              <w:pStyle w:val="ListParagraph"/>
              <w:keepNext/>
              <w:numPr>
                <w:ilvl w:val="0"/>
                <w:numId w:val="8"/>
              </w:numPr>
              <w:rPr>
                <w:bCs/>
                <w:color w:val="000000" w:themeColor="text1"/>
                <w:sz w:val="16"/>
                <w:szCs w:val="16"/>
              </w:rPr>
            </w:pPr>
            <w:r w:rsidRPr="008C6117">
              <w:rPr>
                <w:rFonts w:asciiTheme="minorHAnsi" w:hAnsiTheme="minorHAnsi"/>
                <w:bCs/>
                <w:color w:val="000000" w:themeColor="text1"/>
                <w:sz w:val="16"/>
                <w:szCs w:val="16"/>
              </w:rPr>
              <w:t>Maintenance cost per lane kilometre for local roads includes maintenance operations and renewals (excluding emergency works) and is adjusted for inflation based on the network outcomes index.</w:t>
            </w:r>
          </w:p>
          <w:p w14:paraId="003CC684" w14:textId="0A561D28" w:rsidR="008C6117" w:rsidRPr="008C6117" w:rsidRDefault="008C6117" w:rsidP="008C6117">
            <w:pPr>
              <w:rPr>
                <w:rFonts w:asciiTheme="minorHAnsi" w:hAnsiTheme="minorHAnsi" w:cstheme="minorHAnsi"/>
                <w:sz w:val="16"/>
              </w:rPr>
            </w:pPr>
            <w:r w:rsidRPr="008C6117">
              <w:rPr>
                <w:rFonts w:asciiTheme="minorHAnsi" w:hAnsiTheme="minorHAnsi" w:cstheme="minorHAnsi"/>
                <w:b/>
                <w:i/>
                <w:sz w:val="16"/>
              </w:rPr>
              <w:t>Note:</w:t>
            </w:r>
            <w:r w:rsidRPr="008C6117">
              <w:rPr>
                <w:rFonts w:asciiTheme="minorHAnsi" w:hAnsiTheme="minorHAnsi" w:cstheme="minorHAnsi"/>
                <w:sz w:val="16"/>
              </w:rPr>
              <w:t xml:space="preserve"> The impact of road maintenance is significant and stretches beyond Value for Money, providing safety, economic, environmental and social well-being benefits. </w:t>
            </w:r>
          </w:p>
        </w:tc>
      </w:tr>
    </w:tbl>
    <w:p w14:paraId="0D962F38" w14:textId="77777777" w:rsidR="00754C13" w:rsidRDefault="00754C13" w:rsidP="005D66F0"/>
    <w:p w14:paraId="559E2ECA" w14:textId="77777777" w:rsidR="009F6677" w:rsidRDefault="009F6677" w:rsidP="005D66F0">
      <w:pPr>
        <w:rPr>
          <w:b/>
          <w:sz w:val="32"/>
          <w:u w:val="single"/>
        </w:rPr>
      </w:pPr>
    </w:p>
    <w:p w14:paraId="3075E51C" w14:textId="7C18473B" w:rsidR="009F6677" w:rsidRDefault="009F6677" w:rsidP="005D66F0">
      <w:pPr>
        <w:rPr>
          <w:b/>
          <w:sz w:val="32"/>
          <w:u w:val="single"/>
        </w:rPr>
      </w:pPr>
    </w:p>
    <w:p w14:paraId="05A8A648" w14:textId="77777777" w:rsidR="003E01D7" w:rsidRDefault="003E01D7" w:rsidP="005D66F0">
      <w:pPr>
        <w:rPr>
          <w:b/>
          <w:sz w:val="32"/>
          <w:u w:val="single"/>
        </w:rPr>
      </w:pPr>
    </w:p>
    <w:p w14:paraId="35E321F6" w14:textId="61AEB027" w:rsidR="00266C08" w:rsidRDefault="00266C08" w:rsidP="005D66F0">
      <w:pPr>
        <w:rPr>
          <w:b/>
          <w:sz w:val="32"/>
          <w:u w:val="single"/>
        </w:rPr>
      </w:pPr>
      <w:r w:rsidRPr="00266C08">
        <w:rPr>
          <w:b/>
          <w:sz w:val="32"/>
          <w:u w:val="single"/>
        </w:rPr>
        <w:t>Appendix A</w:t>
      </w:r>
    </w:p>
    <w:tbl>
      <w:tblPr>
        <w:tblStyle w:val="GridTable4-Accent3"/>
        <w:tblW w:w="0" w:type="auto"/>
        <w:tblLook w:val="04A0" w:firstRow="1" w:lastRow="0" w:firstColumn="1" w:lastColumn="0" w:noHBand="0" w:noVBand="1"/>
      </w:tblPr>
      <w:tblGrid>
        <w:gridCol w:w="10456"/>
      </w:tblGrid>
      <w:tr w:rsidR="00811F12" w:rsidRPr="00F20A14" w14:paraId="1EFD059F" w14:textId="77777777" w:rsidTr="001B61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46329EA5" w14:textId="683F71EC" w:rsidR="00811F12" w:rsidRPr="00F20A14" w:rsidRDefault="00811F12" w:rsidP="004A20F0">
            <w:pPr>
              <w:jc w:val="center"/>
              <w:rPr>
                <w:sz w:val="32"/>
                <w:u w:val="single"/>
              </w:rPr>
            </w:pPr>
            <w:r w:rsidRPr="00F20A14">
              <w:rPr>
                <w:sz w:val="32"/>
                <w:u w:val="single"/>
              </w:rPr>
              <w:lastRenderedPageBreak/>
              <w:t xml:space="preserve">New </w:t>
            </w:r>
            <w:r w:rsidR="004A20F0">
              <w:rPr>
                <w:sz w:val="32"/>
                <w:u w:val="single"/>
              </w:rPr>
              <w:t>Measure</w:t>
            </w:r>
            <w:r w:rsidRPr="00F20A14">
              <w:rPr>
                <w:sz w:val="32"/>
                <w:u w:val="single"/>
              </w:rPr>
              <w:t>s</w:t>
            </w:r>
          </w:p>
        </w:tc>
      </w:tr>
      <w:tr w:rsidR="00811F12" w:rsidRPr="00F20A14" w14:paraId="563D24D9" w14:textId="77777777" w:rsidTr="001B61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6BCD6AE4" w14:textId="77777777" w:rsidR="00811F12" w:rsidRPr="00F20A14" w:rsidRDefault="00811F12" w:rsidP="001B6108">
            <w:pPr>
              <w:ind w:left="360"/>
              <w:rPr>
                <w:rFonts w:asciiTheme="minorHAnsi" w:hAnsiTheme="minorHAnsi" w:cstheme="minorHAnsi"/>
              </w:rPr>
            </w:pPr>
            <w:r w:rsidRPr="00F20A14">
              <w:rPr>
                <w:rFonts w:asciiTheme="minorHAnsi" w:hAnsiTheme="minorHAnsi" w:cstheme="minorHAnsi"/>
              </w:rPr>
              <w:t xml:space="preserve">2E: Investment in safety improvement activities </w:t>
            </w:r>
          </w:p>
          <w:p w14:paraId="428AADA1" w14:textId="77777777" w:rsidR="00811F12" w:rsidRPr="00F20A14" w:rsidRDefault="00811F12" w:rsidP="001B6108">
            <w:pPr>
              <w:ind w:left="360"/>
              <w:rPr>
                <w:rFonts w:asciiTheme="minorHAnsi" w:hAnsiTheme="minorHAnsi" w:cstheme="minorHAnsi"/>
              </w:rPr>
            </w:pPr>
            <w:r w:rsidRPr="00F20A14">
              <w:rPr>
                <w:rFonts w:asciiTheme="minorHAnsi" w:hAnsiTheme="minorHAnsi" w:cstheme="minorHAnsi"/>
              </w:rPr>
              <w:t xml:space="preserve">5B: Success of road safety education programmes </w:t>
            </w:r>
          </w:p>
          <w:p w14:paraId="5D33DC9E" w14:textId="77777777" w:rsidR="00811F12" w:rsidRPr="00F20A14" w:rsidRDefault="00811F12" w:rsidP="001B6108">
            <w:pPr>
              <w:ind w:left="360"/>
              <w:rPr>
                <w:rFonts w:asciiTheme="minorHAnsi" w:hAnsiTheme="minorHAnsi" w:cstheme="minorHAnsi"/>
              </w:rPr>
            </w:pPr>
            <w:r w:rsidRPr="00F20A14">
              <w:rPr>
                <w:rFonts w:asciiTheme="minorHAnsi" w:hAnsiTheme="minorHAnsi" w:cstheme="minorHAnsi"/>
              </w:rPr>
              <w:t xml:space="preserve">7A: Proportion of recently built residential dwellings in major urban areas with access to frequent public transport services </w:t>
            </w:r>
          </w:p>
          <w:p w14:paraId="29A37F27" w14:textId="77777777" w:rsidR="00811F12" w:rsidRPr="00F20A14" w:rsidRDefault="00811F12" w:rsidP="001B6108">
            <w:pPr>
              <w:ind w:left="360"/>
              <w:rPr>
                <w:rFonts w:asciiTheme="minorHAnsi" w:hAnsiTheme="minorHAnsi" w:cstheme="minorHAnsi"/>
              </w:rPr>
            </w:pPr>
            <w:r w:rsidRPr="00F20A14">
              <w:rPr>
                <w:rFonts w:asciiTheme="minorHAnsi" w:hAnsiTheme="minorHAnsi" w:cstheme="minorHAnsi"/>
              </w:rPr>
              <w:t xml:space="preserve">8B: Predictability o travel times for road vehicles in key routes within metropolitan high growth areas </w:t>
            </w:r>
          </w:p>
          <w:p w14:paraId="0051C846" w14:textId="77777777" w:rsidR="00811F12" w:rsidRPr="00F20A14" w:rsidRDefault="00811F12" w:rsidP="001B6108">
            <w:pPr>
              <w:ind w:left="360"/>
              <w:rPr>
                <w:rFonts w:asciiTheme="minorHAnsi" w:hAnsiTheme="minorHAnsi" w:cstheme="minorHAnsi"/>
              </w:rPr>
            </w:pPr>
            <w:r w:rsidRPr="00F20A14">
              <w:rPr>
                <w:rFonts w:asciiTheme="minorHAnsi" w:hAnsiTheme="minorHAnsi" w:cstheme="minorHAnsi"/>
              </w:rPr>
              <w:t xml:space="preserve">10A: Predictability of travel times on priority routes for freight and tourism </w:t>
            </w:r>
          </w:p>
          <w:p w14:paraId="5C7CD562" w14:textId="77777777" w:rsidR="00811F12" w:rsidRPr="00F20A14" w:rsidRDefault="00811F12" w:rsidP="001B6108">
            <w:pPr>
              <w:ind w:left="360"/>
              <w:rPr>
                <w:rFonts w:asciiTheme="minorHAnsi" w:hAnsiTheme="minorHAnsi" w:cstheme="minorHAnsi"/>
              </w:rPr>
            </w:pPr>
            <w:r w:rsidRPr="00F20A14">
              <w:rPr>
                <w:rFonts w:asciiTheme="minorHAnsi" w:hAnsiTheme="minorHAnsi" w:cstheme="minorHAnsi"/>
              </w:rPr>
              <w:t xml:space="preserve">11A: Trials undertaken and implemented on intelligent transport systems and other technologies to make the best use of existing networks </w:t>
            </w:r>
          </w:p>
          <w:p w14:paraId="3C12F409" w14:textId="77777777" w:rsidR="00811F12" w:rsidRPr="00F20A14" w:rsidRDefault="00811F12" w:rsidP="001B6108">
            <w:pPr>
              <w:ind w:left="360"/>
              <w:rPr>
                <w:rFonts w:asciiTheme="minorHAnsi" w:hAnsiTheme="minorHAnsi" w:cstheme="minorHAnsi"/>
              </w:rPr>
            </w:pPr>
            <w:r w:rsidRPr="00F20A14">
              <w:rPr>
                <w:rFonts w:asciiTheme="minorHAnsi" w:hAnsiTheme="minorHAnsi" w:cstheme="minorHAnsi"/>
              </w:rPr>
              <w:t xml:space="preserve">12B: Key social and economic corridors with viable alternative routes </w:t>
            </w:r>
          </w:p>
          <w:p w14:paraId="3E28C08E" w14:textId="77777777" w:rsidR="00811F12" w:rsidRPr="00F20A14" w:rsidRDefault="00811F12" w:rsidP="001B6108">
            <w:pPr>
              <w:ind w:left="360"/>
              <w:rPr>
                <w:rFonts w:asciiTheme="minorHAnsi" w:hAnsiTheme="minorHAnsi" w:cstheme="minorHAnsi"/>
              </w:rPr>
            </w:pPr>
            <w:r w:rsidRPr="00F20A14">
              <w:rPr>
                <w:rFonts w:asciiTheme="minorHAnsi" w:hAnsiTheme="minorHAnsi" w:cstheme="minorHAnsi"/>
              </w:rPr>
              <w:t xml:space="preserve">13B: Use of cycling tourist routes </w:t>
            </w:r>
          </w:p>
          <w:p w14:paraId="3C6FE5C5" w14:textId="77777777" w:rsidR="00811F12" w:rsidRPr="00F20A14" w:rsidRDefault="00811F12" w:rsidP="001B6108">
            <w:pPr>
              <w:ind w:left="360"/>
              <w:rPr>
                <w:rFonts w:asciiTheme="minorHAnsi" w:hAnsiTheme="minorHAnsi" w:cstheme="minorHAnsi"/>
              </w:rPr>
            </w:pPr>
            <w:r w:rsidRPr="00F20A14">
              <w:rPr>
                <w:rFonts w:asciiTheme="minorHAnsi" w:hAnsiTheme="minorHAnsi" w:cstheme="minorHAnsi"/>
              </w:rPr>
              <w:t xml:space="preserve">15B: Walking count in urban areas </w:t>
            </w:r>
          </w:p>
          <w:p w14:paraId="2BCE9CC5" w14:textId="77777777" w:rsidR="00811F12" w:rsidRPr="00F20A14" w:rsidRDefault="00811F12" w:rsidP="001B6108">
            <w:pPr>
              <w:ind w:left="360"/>
              <w:rPr>
                <w:rFonts w:asciiTheme="minorHAnsi" w:hAnsiTheme="minorHAnsi" w:cstheme="minorHAnsi"/>
              </w:rPr>
            </w:pPr>
            <w:r w:rsidRPr="00F20A14">
              <w:rPr>
                <w:rFonts w:asciiTheme="minorHAnsi" w:hAnsiTheme="minorHAnsi" w:cstheme="minorHAnsi"/>
              </w:rPr>
              <w:t xml:space="preserve">21A: Length of state highway infrastructure susceptible to coastal inundation with sea level rise (kms) </w:t>
            </w:r>
          </w:p>
          <w:p w14:paraId="3061021E" w14:textId="77777777" w:rsidR="00811F12" w:rsidRPr="00F20A14" w:rsidRDefault="00811F12" w:rsidP="001B6108">
            <w:pPr>
              <w:ind w:left="360"/>
              <w:rPr>
                <w:rFonts w:asciiTheme="minorHAnsi" w:hAnsiTheme="minorHAnsi" w:cstheme="minorHAnsi"/>
              </w:rPr>
            </w:pPr>
            <w:r w:rsidRPr="00F20A14">
              <w:rPr>
                <w:rFonts w:asciiTheme="minorHAnsi" w:hAnsiTheme="minorHAnsi" w:cstheme="minorHAnsi"/>
              </w:rPr>
              <w:t xml:space="preserve">22A &amp; 22B: Investment in resilience </w:t>
            </w:r>
          </w:p>
          <w:p w14:paraId="149AF67E" w14:textId="77777777" w:rsidR="00811F12" w:rsidRPr="00F20A14" w:rsidRDefault="00811F12" w:rsidP="001B6108">
            <w:pPr>
              <w:ind w:left="360"/>
              <w:rPr>
                <w:rFonts w:asciiTheme="minorHAnsi" w:hAnsiTheme="minorHAnsi" w:cstheme="minorHAnsi"/>
              </w:rPr>
            </w:pPr>
            <w:r w:rsidRPr="00F20A14">
              <w:rPr>
                <w:rFonts w:asciiTheme="minorHAnsi" w:hAnsiTheme="minorHAnsi" w:cstheme="minorHAnsi"/>
              </w:rPr>
              <w:t xml:space="preserve">23A: Availability of priority routes for freight and tourism </w:t>
            </w:r>
          </w:p>
          <w:p w14:paraId="17EEFF17" w14:textId="77777777" w:rsidR="00811F12" w:rsidRPr="00F20A14" w:rsidRDefault="00811F12" w:rsidP="001B6108">
            <w:pPr>
              <w:ind w:left="360"/>
              <w:rPr>
                <w:rFonts w:asciiTheme="minorHAnsi" w:hAnsiTheme="minorHAnsi" w:cstheme="minorHAnsi"/>
              </w:rPr>
            </w:pPr>
            <w:r w:rsidRPr="00F20A14">
              <w:rPr>
                <w:rFonts w:asciiTheme="minorHAnsi" w:hAnsiTheme="minorHAnsi" w:cstheme="minorHAnsi"/>
              </w:rPr>
              <w:t xml:space="preserve">26A: Tonnes of harmful emissions emitted per year from land transport (kilo tonnes/year) </w:t>
            </w:r>
          </w:p>
          <w:p w14:paraId="46BCDB7D" w14:textId="77777777" w:rsidR="00811F12" w:rsidRPr="00F20A14" w:rsidRDefault="00811F12" w:rsidP="001B6108">
            <w:pPr>
              <w:ind w:left="360"/>
              <w:rPr>
                <w:rFonts w:asciiTheme="minorHAnsi" w:hAnsiTheme="minorHAnsi" w:cstheme="minorHAnsi"/>
              </w:rPr>
            </w:pPr>
            <w:r w:rsidRPr="00F20A14">
              <w:rPr>
                <w:rFonts w:asciiTheme="minorHAnsi" w:hAnsiTheme="minorHAnsi" w:cstheme="minorHAnsi"/>
              </w:rPr>
              <w:t xml:space="preserve">31A: % alignment of funded research to the NZ transport research strategy </w:t>
            </w:r>
          </w:p>
        </w:tc>
      </w:tr>
      <w:tr w:rsidR="00811F12" w:rsidRPr="00F20A14" w14:paraId="6D8C923F" w14:textId="77777777" w:rsidTr="001B6108">
        <w:tc>
          <w:tcPr>
            <w:cnfStyle w:val="001000000000" w:firstRow="0" w:lastRow="0" w:firstColumn="1" w:lastColumn="0" w:oddVBand="0" w:evenVBand="0" w:oddHBand="0" w:evenHBand="0" w:firstRowFirstColumn="0" w:firstRowLastColumn="0" w:lastRowFirstColumn="0" w:lastRowLastColumn="0"/>
            <w:tcW w:w="10456" w:type="dxa"/>
            <w:shd w:val="clear" w:color="auto" w:fill="A6A6A6" w:themeFill="background1" w:themeFillShade="A6"/>
          </w:tcPr>
          <w:p w14:paraId="02BB7BE4" w14:textId="77777777" w:rsidR="00811F12" w:rsidRPr="00F20A14" w:rsidRDefault="00811F12" w:rsidP="001B6108">
            <w:pPr>
              <w:jc w:val="center"/>
              <w:rPr>
                <w:sz w:val="32"/>
                <w:u w:val="single"/>
              </w:rPr>
            </w:pPr>
            <w:r w:rsidRPr="00F20A14">
              <w:rPr>
                <w:color w:val="FFFFFF" w:themeColor="background1"/>
                <w:sz w:val="32"/>
                <w:u w:val="single"/>
              </w:rPr>
              <w:t>Proxy Measures</w:t>
            </w:r>
          </w:p>
        </w:tc>
      </w:tr>
      <w:tr w:rsidR="00811F12" w:rsidRPr="00F20A14" w14:paraId="7B778C3B" w14:textId="77777777" w:rsidTr="001B61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44D3727A" w14:textId="77777777" w:rsidR="00811F12" w:rsidRPr="00F20A14" w:rsidRDefault="00811F12" w:rsidP="001B6108">
            <w:pPr>
              <w:ind w:left="360"/>
              <w:rPr>
                <w:rFonts w:asciiTheme="minorHAnsi" w:hAnsiTheme="minorHAnsi" w:cstheme="minorHAnsi"/>
              </w:rPr>
            </w:pPr>
            <w:r w:rsidRPr="00F20A14">
              <w:rPr>
                <w:rFonts w:asciiTheme="minorHAnsi" w:hAnsiTheme="minorHAnsi" w:cstheme="minorHAnsi"/>
              </w:rPr>
              <w:t xml:space="preserve">7A: Proportion of recently built residential dwellings in major urban areas with access to frequent public transport services </w:t>
            </w:r>
          </w:p>
          <w:p w14:paraId="7EDB78F9" w14:textId="77777777" w:rsidR="00811F12" w:rsidRPr="00F20A14" w:rsidRDefault="00811F12" w:rsidP="001B6108">
            <w:pPr>
              <w:ind w:left="360"/>
              <w:rPr>
                <w:rFonts w:asciiTheme="minorHAnsi" w:hAnsiTheme="minorHAnsi" w:cstheme="minorHAnsi"/>
              </w:rPr>
            </w:pPr>
            <w:r w:rsidRPr="00F20A14">
              <w:rPr>
                <w:rFonts w:asciiTheme="minorHAnsi" w:hAnsiTheme="minorHAnsi" w:cstheme="minorHAnsi"/>
              </w:rPr>
              <w:t xml:space="preserve">8B: Predictability o travel times for road vehicles in key routes within metropolitan high growth areas </w:t>
            </w:r>
          </w:p>
          <w:p w14:paraId="44BCF3AD" w14:textId="77777777" w:rsidR="00811F12" w:rsidRPr="00F20A14" w:rsidRDefault="00811F12" w:rsidP="001B6108">
            <w:pPr>
              <w:ind w:left="360"/>
              <w:rPr>
                <w:rFonts w:asciiTheme="minorHAnsi" w:hAnsiTheme="minorHAnsi" w:cstheme="minorHAnsi"/>
              </w:rPr>
            </w:pPr>
            <w:r w:rsidRPr="00F20A14">
              <w:rPr>
                <w:rFonts w:asciiTheme="minorHAnsi" w:hAnsiTheme="minorHAnsi" w:cstheme="minorHAnsi"/>
              </w:rPr>
              <w:t xml:space="preserve">21A: Length of state highway infrastructure susceptible to coastal inundation with sea level rise (kms) </w:t>
            </w:r>
          </w:p>
          <w:p w14:paraId="1FDCFA35" w14:textId="77777777" w:rsidR="00811F12" w:rsidRPr="00F20A14" w:rsidRDefault="00811F12" w:rsidP="001B6108">
            <w:pPr>
              <w:ind w:left="360"/>
            </w:pPr>
            <w:r w:rsidRPr="00F20A14">
              <w:rPr>
                <w:rFonts w:asciiTheme="minorHAnsi" w:hAnsiTheme="minorHAnsi" w:cstheme="minorHAnsi"/>
              </w:rPr>
              <w:t>22A &amp; 22B: Investment in resilience</w:t>
            </w:r>
            <w:r w:rsidRPr="00F20A14">
              <w:t xml:space="preserve"> </w:t>
            </w:r>
          </w:p>
        </w:tc>
      </w:tr>
      <w:tr w:rsidR="00811F12" w:rsidRPr="00F20A14" w14:paraId="56BE8B64" w14:textId="77777777" w:rsidTr="001B6108">
        <w:tc>
          <w:tcPr>
            <w:cnfStyle w:val="001000000000" w:firstRow="0" w:lastRow="0" w:firstColumn="1" w:lastColumn="0" w:oddVBand="0" w:evenVBand="0" w:oddHBand="0" w:evenHBand="0" w:firstRowFirstColumn="0" w:firstRowLastColumn="0" w:lastRowFirstColumn="0" w:lastRowLastColumn="0"/>
            <w:tcW w:w="10456" w:type="dxa"/>
            <w:shd w:val="clear" w:color="auto" w:fill="A6A6A6" w:themeFill="background1" w:themeFillShade="A6"/>
          </w:tcPr>
          <w:p w14:paraId="344BB07D" w14:textId="77777777" w:rsidR="00811F12" w:rsidRPr="00F20A14" w:rsidRDefault="00811F12" w:rsidP="001B6108">
            <w:pPr>
              <w:jc w:val="center"/>
              <w:rPr>
                <w:sz w:val="32"/>
                <w:u w:val="single"/>
              </w:rPr>
            </w:pPr>
            <w:r w:rsidRPr="00F20A14">
              <w:rPr>
                <w:color w:val="FFFFFF" w:themeColor="background1"/>
                <w:sz w:val="32"/>
                <w:u w:val="single"/>
              </w:rPr>
              <w:t>Measures no longer reported on</w:t>
            </w:r>
          </w:p>
        </w:tc>
      </w:tr>
      <w:tr w:rsidR="00811F12" w:rsidRPr="00C16CFF" w14:paraId="32C9A6F1" w14:textId="77777777" w:rsidTr="001B61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66F66F51" w14:textId="77777777" w:rsidR="00811F12" w:rsidRPr="00F20A14" w:rsidRDefault="00811F12" w:rsidP="001B6108">
            <w:pPr>
              <w:ind w:left="360"/>
              <w:rPr>
                <w:rFonts w:asciiTheme="minorHAnsi" w:eastAsiaTheme="majorEastAsia" w:hAnsiTheme="minorHAnsi" w:cstheme="minorHAnsi"/>
              </w:rPr>
            </w:pPr>
            <w:r w:rsidRPr="00F20A14">
              <w:rPr>
                <w:rFonts w:asciiTheme="minorHAnsi" w:hAnsiTheme="minorHAnsi" w:cstheme="minorHAnsi"/>
              </w:rPr>
              <w:t>4B: Mean free speed and proportion of driving over a safe and appropriate speed</w:t>
            </w:r>
            <w:r w:rsidRPr="00F20A14">
              <w:rPr>
                <w:rFonts w:asciiTheme="minorHAnsi" w:eastAsiaTheme="majorEastAsia" w:hAnsiTheme="minorHAnsi" w:cstheme="minorHAnsi"/>
              </w:rPr>
              <w:t xml:space="preserve"> </w:t>
            </w:r>
          </w:p>
          <w:p w14:paraId="17195729" w14:textId="77777777" w:rsidR="00811F12" w:rsidRPr="00C16CFF" w:rsidRDefault="00811F12" w:rsidP="001B6108">
            <w:pPr>
              <w:pStyle w:val="ListParagraph"/>
              <w:numPr>
                <w:ilvl w:val="1"/>
                <w:numId w:val="12"/>
              </w:numPr>
              <w:rPr>
                <w:rFonts w:asciiTheme="minorHAnsi" w:eastAsiaTheme="majorEastAsia" w:hAnsiTheme="minorHAnsi" w:cstheme="minorHAnsi"/>
                <w:b w:val="0"/>
              </w:rPr>
            </w:pPr>
            <w:r w:rsidRPr="00C16CFF">
              <w:rPr>
                <w:rFonts w:asciiTheme="minorHAnsi" w:eastAsiaTheme="majorEastAsia" w:hAnsiTheme="minorHAnsi" w:cstheme="minorHAnsi"/>
                <w:b w:val="0"/>
              </w:rPr>
              <w:t xml:space="preserve">This measure is not available. We expect to provide information on safe speeds in the future as Road to Zero work progresses. </w:t>
            </w:r>
          </w:p>
          <w:p w14:paraId="4231867A" w14:textId="77777777" w:rsidR="00811F12" w:rsidRPr="00F20A14" w:rsidRDefault="00811F12" w:rsidP="001B6108">
            <w:pPr>
              <w:ind w:left="360"/>
              <w:rPr>
                <w:rFonts w:asciiTheme="minorHAnsi" w:hAnsiTheme="minorHAnsi" w:cstheme="minorHAnsi"/>
              </w:rPr>
            </w:pPr>
            <w:r w:rsidRPr="00F20A14">
              <w:rPr>
                <w:rFonts w:asciiTheme="minorHAnsi" w:hAnsiTheme="minorHAnsi" w:cstheme="minorHAnsi"/>
              </w:rPr>
              <w:t xml:space="preserve">7C: % of urban network with speed limit of 40 km/h or below </w:t>
            </w:r>
          </w:p>
          <w:p w14:paraId="0100D436" w14:textId="77777777" w:rsidR="00811F12" w:rsidRPr="00C16CFF" w:rsidRDefault="00811F12" w:rsidP="001B6108">
            <w:pPr>
              <w:pStyle w:val="ListParagraph"/>
              <w:numPr>
                <w:ilvl w:val="1"/>
                <w:numId w:val="12"/>
              </w:numPr>
              <w:rPr>
                <w:rFonts w:asciiTheme="minorHAnsi" w:hAnsiTheme="minorHAnsi" w:cstheme="minorHAnsi"/>
                <w:b w:val="0"/>
              </w:rPr>
            </w:pPr>
            <w:r w:rsidRPr="00C16CFF">
              <w:rPr>
                <w:rFonts w:asciiTheme="minorHAnsi" w:hAnsiTheme="minorHAnsi" w:cstheme="minorHAnsi"/>
                <w:b w:val="0"/>
              </w:rPr>
              <w:t xml:space="preserve">This is not available. We will be able to report on this next year when data from the National Speed Limit Register becomes available. </w:t>
            </w:r>
          </w:p>
          <w:p w14:paraId="17D9BF96" w14:textId="77777777" w:rsidR="00811F12" w:rsidRPr="00F20A14" w:rsidRDefault="00811F12" w:rsidP="001B6108">
            <w:pPr>
              <w:ind w:left="360"/>
              <w:rPr>
                <w:rFonts w:asciiTheme="minorHAnsi" w:hAnsiTheme="minorHAnsi" w:cstheme="minorHAnsi"/>
              </w:rPr>
            </w:pPr>
            <w:r w:rsidRPr="00F20A14">
              <w:rPr>
                <w:rFonts w:asciiTheme="minorHAnsi" w:hAnsiTheme="minorHAnsi" w:cstheme="minorHAnsi"/>
              </w:rPr>
              <w:t xml:space="preserve">8A: Utilisation of key movement corridors for people and freight </w:t>
            </w:r>
          </w:p>
          <w:p w14:paraId="1797982A" w14:textId="77777777" w:rsidR="00811F12" w:rsidRPr="00C16CFF" w:rsidRDefault="00811F12" w:rsidP="001B6108">
            <w:pPr>
              <w:pStyle w:val="ListParagraph"/>
              <w:numPr>
                <w:ilvl w:val="1"/>
                <w:numId w:val="12"/>
              </w:numPr>
              <w:rPr>
                <w:rFonts w:asciiTheme="minorHAnsi" w:hAnsiTheme="minorHAnsi" w:cstheme="minorHAnsi"/>
                <w:b w:val="0"/>
              </w:rPr>
            </w:pPr>
            <w:r w:rsidRPr="00C16CFF">
              <w:rPr>
                <w:rFonts w:asciiTheme="minorHAnsi" w:hAnsiTheme="minorHAnsi" w:cstheme="minorHAnsi"/>
                <w:b w:val="0"/>
              </w:rPr>
              <w:t xml:space="preserve">This is not available. </w:t>
            </w:r>
          </w:p>
          <w:p w14:paraId="2DB54ADA" w14:textId="77777777" w:rsidR="00811F12" w:rsidRPr="00F20A14" w:rsidRDefault="00811F12" w:rsidP="001B6108">
            <w:pPr>
              <w:ind w:left="360"/>
              <w:rPr>
                <w:rFonts w:asciiTheme="minorHAnsi" w:hAnsiTheme="minorHAnsi" w:cstheme="minorHAnsi"/>
              </w:rPr>
            </w:pPr>
            <w:r w:rsidRPr="00F20A14">
              <w:rPr>
                <w:rFonts w:asciiTheme="minorHAnsi" w:hAnsiTheme="minorHAnsi" w:cstheme="minorHAnsi"/>
              </w:rPr>
              <w:t>9A: Investment in providing public transport for new housing in metropolitan and high growth urban areas</w:t>
            </w:r>
          </w:p>
          <w:p w14:paraId="1F05693F" w14:textId="77777777" w:rsidR="00811F12" w:rsidRPr="00C16CFF" w:rsidRDefault="00811F12" w:rsidP="001B6108">
            <w:pPr>
              <w:pStyle w:val="ListParagraph"/>
              <w:numPr>
                <w:ilvl w:val="1"/>
                <w:numId w:val="12"/>
              </w:numPr>
              <w:rPr>
                <w:rFonts w:asciiTheme="minorHAnsi" w:hAnsiTheme="minorHAnsi" w:cstheme="minorHAnsi"/>
                <w:b w:val="0"/>
              </w:rPr>
            </w:pPr>
            <w:r w:rsidRPr="00C16CFF">
              <w:rPr>
                <w:rFonts w:asciiTheme="minorHAnsi" w:hAnsiTheme="minorHAnsi" w:cstheme="minorHAnsi"/>
                <w:b w:val="0"/>
              </w:rPr>
              <w:t xml:space="preserve">This is not available. Information is not readily available, and results may not be robust.  </w:t>
            </w:r>
          </w:p>
          <w:p w14:paraId="2DA36221" w14:textId="77777777" w:rsidR="00811F12" w:rsidRPr="00F20A14" w:rsidRDefault="00811F12" w:rsidP="001B6108">
            <w:pPr>
              <w:ind w:left="360"/>
              <w:rPr>
                <w:rFonts w:asciiTheme="minorHAnsi" w:hAnsiTheme="minorHAnsi" w:cstheme="minorHAnsi"/>
              </w:rPr>
            </w:pPr>
            <w:r w:rsidRPr="00F20A14">
              <w:rPr>
                <w:rFonts w:asciiTheme="minorHAnsi" w:hAnsiTheme="minorHAnsi" w:cstheme="minorHAnsi"/>
              </w:rPr>
              <w:t>10B: Proportion of key national and regional networks that meet One Network Road Classification (ONRC) customer levels of service for safety, resilience and access, and travel time reliability</w:t>
            </w:r>
          </w:p>
          <w:p w14:paraId="6FF84BB6" w14:textId="77777777" w:rsidR="00811F12" w:rsidRPr="00F20A14" w:rsidRDefault="00811F12" w:rsidP="001B6108">
            <w:pPr>
              <w:ind w:left="360"/>
              <w:rPr>
                <w:rFonts w:asciiTheme="minorHAnsi" w:hAnsiTheme="minorHAnsi" w:cstheme="minorHAnsi"/>
              </w:rPr>
            </w:pPr>
            <w:r w:rsidRPr="00F20A14">
              <w:rPr>
                <w:rFonts w:asciiTheme="minorHAnsi" w:hAnsiTheme="minorHAnsi" w:cstheme="minorHAnsi"/>
              </w:rPr>
              <w:t>11B: Investment in technology</w:t>
            </w:r>
          </w:p>
          <w:p w14:paraId="237D84C2" w14:textId="77777777" w:rsidR="00811F12" w:rsidRPr="00C16CFF" w:rsidRDefault="00811F12" w:rsidP="001B6108">
            <w:pPr>
              <w:pStyle w:val="ListParagraph"/>
              <w:numPr>
                <w:ilvl w:val="0"/>
                <w:numId w:val="12"/>
              </w:numPr>
              <w:rPr>
                <w:rFonts w:asciiTheme="minorHAnsi" w:hAnsiTheme="minorHAnsi" w:cstheme="minorHAnsi"/>
                <w:b w:val="0"/>
              </w:rPr>
            </w:pPr>
            <w:r w:rsidRPr="00C16CFF">
              <w:rPr>
                <w:rFonts w:asciiTheme="minorHAnsi" w:hAnsiTheme="minorHAnsi" w:cstheme="minorHAnsi"/>
                <w:b w:val="0"/>
              </w:rPr>
              <w:t>Intelligent transport systems and other technologies</w:t>
            </w:r>
          </w:p>
          <w:p w14:paraId="215ADD78" w14:textId="77777777" w:rsidR="00811F12" w:rsidRPr="00C16CFF" w:rsidRDefault="00811F12" w:rsidP="001B6108">
            <w:pPr>
              <w:pStyle w:val="ListParagraph"/>
              <w:numPr>
                <w:ilvl w:val="0"/>
                <w:numId w:val="12"/>
              </w:numPr>
              <w:rPr>
                <w:rFonts w:asciiTheme="minorHAnsi" w:hAnsiTheme="minorHAnsi" w:cstheme="minorHAnsi"/>
                <w:b w:val="0"/>
              </w:rPr>
            </w:pPr>
            <w:r w:rsidRPr="00C16CFF">
              <w:rPr>
                <w:rFonts w:asciiTheme="minorHAnsi" w:hAnsiTheme="minorHAnsi" w:cstheme="minorHAnsi"/>
                <w:b w:val="0"/>
              </w:rPr>
              <w:t>Research and evaluations related to intelligent transport systems and other technologies</w:t>
            </w:r>
          </w:p>
          <w:p w14:paraId="35EF1A03" w14:textId="77777777" w:rsidR="00811F12" w:rsidRPr="00C16CFF" w:rsidRDefault="00811F12" w:rsidP="001B6108">
            <w:pPr>
              <w:pStyle w:val="ListParagraph"/>
              <w:numPr>
                <w:ilvl w:val="1"/>
                <w:numId w:val="12"/>
              </w:numPr>
              <w:rPr>
                <w:rFonts w:asciiTheme="minorHAnsi" w:hAnsiTheme="minorHAnsi" w:cstheme="minorHAnsi"/>
                <w:b w:val="0"/>
              </w:rPr>
            </w:pPr>
            <w:r w:rsidRPr="00C16CFF">
              <w:rPr>
                <w:rFonts w:asciiTheme="minorHAnsi" w:hAnsiTheme="minorHAnsi" w:cstheme="minorHAnsi"/>
                <w:b w:val="0"/>
              </w:rPr>
              <w:t xml:space="preserve">There were no ITS specific research projects funded in 2019/20. We do note that ITS might be an element/consideration of some research projects. </w:t>
            </w:r>
          </w:p>
          <w:p w14:paraId="30C5C1A1" w14:textId="77777777" w:rsidR="00811F12" w:rsidRPr="00F20A14" w:rsidRDefault="00811F12" w:rsidP="001B6108">
            <w:pPr>
              <w:ind w:left="360"/>
              <w:rPr>
                <w:rFonts w:asciiTheme="minorHAnsi" w:hAnsiTheme="minorHAnsi" w:cstheme="minorHAnsi"/>
              </w:rPr>
            </w:pPr>
            <w:r w:rsidRPr="00F20A14">
              <w:rPr>
                <w:rFonts w:asciiTheme="minorHAnsi" w:hAnsiTheme="minorHAnsi" w:cstheme="minorHAnsi"/>
              </w:rPr>
              <w:t>13D: Use of Te Araroa trails</w:t>
            </w:r>
          </w:p>
          <w:p w14:paraId="2DA1FD7A" w14:textId="77777777" w:rsidR="00811F12" w:rsidRPr="00C16CFF" w:rsidRDefault="00811F12" w:rsidP="001B6108">
            <w:pPr>
              <w:pStyle w:val="ListParagraph"/>
              <w:numPr>
                <w:ilvl w:val="1"/>
                <w:numId w:val="12"/>
              </w:numPr>
              <w:rPr>
                <w:rFonts w:asciiTheme="minorHAnsi" w:hAnsiTheme="minorHAnsi" w:cstheme="minorHAnsi"/>
                <w:b w:val="0"/>
              </w:rPr>
            </w:pPr>
            <w:r w:rsidRPr="00C16CFF">
              <w:rPr>
                <w:rFonts w:asciiTheme="minorHAnsi" w:hAnsiTheme="minorHAnsi" w:cstheme="minorHAnsi"/>
                <w:b w:val="0"/>
              </w:rPr>
              <w:t xml:space="preserve">This is not available </w:t>
            </w:r>
          </w:p>
          <w:p w14:paraId="3A860FCE" w14:textId="77777777" w:rsidR="00811F12" w:rsidRPr="00F20A14" w:rsidRDefault="00811F12" w:rsidP="001B6108">
            <w:pPr>
              <w:ind w:left="360"/>
              <w:rPr>
                <w:rFonts w:asciiTheme="minorHAnsi" w:hAnsiTheme="minorHAnsi" w:cstheme="minorHAnsi"/>
              </w:rPr>
            </w:pPr>
            <w:r w:rsidRPr="00F20A14">
              <w:rPr>
                <w:rFonts w:asciiTheme="minorHAnsi" w:hAnsiTheme="minorHAnsi" w:cstheme="minorHAnsi"/>
              </w:rPr>
              <w:t>13E: Investment in tourist routes for walking and cycling</w:t>
            </w:r>
          </w:p>
          <w:p w14:paraId="44192D8C" w14:textId="77777777" w:rsidR="00811F12" w:rsidRPr="00C16CFF" w:rsidRDefault="00811F12" w:rsidP="001B6108">
            <w:pPr>
              <w:pStyle w:val="ListParagraph"/>
              <w:numPr>
                <w:ilvl w:val="1"/>
                <w:numId w:val="12"/>
              </w:numPr>
              <w:rPr>
                <w:rFonts w:asciiTheme="minorHAnsi" w:hAnsiTheme="minorHAnsi" w:cstheme="minorHAnsi"/>
                <w:b w:val="0"/>
              </w:rPr>
            </w:pPr>
            <w:r w:rsidRPr="00C16CFF">
              <w:rPr>
                <w:rFonts w:asciiTheme="minorHAnsi" w:hAnsiTheme="minorHAnsi" w:cstheme="minorHAnsi"/>
                <w:b w:val="0"/>
              </w:rPr>
              <w:t>This is not available. Investments in tourist routes are delivered across programmes so information is not readily available, and results may not be robust.</w:t>
            </w:r>
          </w:p>
          <w:p w14:paraId="14F53A4A" w14:textId="77777777" w:rsidR="00811F12" w:rsidRPr="00F20A14" w:rsidRDefault="00811F12" w:rsidP="001B6108">
            <w:pPr>
              <w:ind w:left="360"/>
              <w:rPr>
                <w:rFonts w:asciiTheme="minorHAnsi" w:hAnsiTheme="minorHAnsi" w:cstheme="minorHAnsi"/>
              </w:rPr>
            </w:pPr>
            <w:r w:rsidRPr="00F20A14">
              <w:rPr>
                <w:rFonts w:asciiTheme="minorHAnsi" w:hAnsiTheme="minorHAnsi" w:cstheme="minorHAnsi"/>
              </w:rPr>
              <w:t>19C: Investment in improving access to public transport for people with disabilities</w:t>
            </w:r>
          </w:p>
          <w:p w14:paraId="1EC9E7FA" w14:textId="77777777" w:rsidR="00811F12" w:rsidRPr="00C16CFF" w:rsidRDefault="00811F12" w:rsidP="001B6108">
            <w:pPr>
              <w:pStyle w:val="ListParagraph"/>
              <w:numPr>
                <w:ilvl w:val="1"/>
                <w:numId w:val="12"/>
              </w:numPr>
              <w:rPr>
                <w:rFonts w:asciiTheme="minorHAnsi" w:hAnsiTheme="minorHAnsi" w:cstheme="minorHAnsi"/>
                <w:b w:val="0"/>
              </w:rPr>
            </w:pPr>
            <w:r w:rsidRPr="00C16CFF">
              <w:rPr>
                <w:rFonts w:asciiTheme="minorHAnsi" w:hAnsiTheme="minorHAnsi" w:cstheme="minorHAnsi"/>
                <w:b w:val="0"/>
              </w:rPr>
              <w:t>This is not available. Information is not readily available, and results may not be robust.</w:t>
            </w:r>
          </w:p>
          <w:p w14:paraId="42D5130C" w14:textId="77777777" w:rsidR="00811F12" w:rsidRPr="00F20A14" w:rsidRDefault="00811F12" w:rsidP="001B6108">
            <w:pPr>
              <w:ind w:left="360"/>
              <w:rPr>
                <w:rFonts w:asciiTheme="minorHAnsi" w:hAnsiTheme="minorHAnsi" w:cstheme="minorHAnsi"/>
              </w:rPr>
            </w:pPr>
            <w:r w:rsidRPr="00F20A14">
              <w:rPr>
                <w:rFonts w:asciiTheme="minorHAnsi" w:hAnsiTheme="minorHAnsi" w:cstheme="minorHAnsi"/>
              </w:rPr>
              <w:t>25A: Number of people exposed to elevated levels of land transport noise</w:t>
            </w:r>
          </w:p>
          <w:p w14:paraId="03489A2A" w14:textId="77777777" w:rsidR="00811F12" w:rsidRPr="00C16CFF" w:rsidRDefault="00811F12" w:rsidP="001B6108">
            <w:pPr>
              <w:pStyle w:val="ListParagraph"/>
              <w:numPr>
                <w:ilvl w:val="1"/>
                <w:numId w:val="12"/>
              </w:numPr>
              <w:rPr>
                <w:rFonts w:asciiTheme="minorHAnsi" w:hAnsiTheme="minorHAnsi" w:cstheme="minorHAnsi"/>
                <w:b w:val="0"/>
              </w:rPr>
            </w:pPr>
            <w:r w:rsidRPr="00C16CFF">
              <w:rPr>
                <w:rFonts w:asciiTheme="minorHAnsi" w:hAnsiTheme="minorHAnsi" w:cstheme="minorHAnsi"/>
                <w:b w:val="0"/>
              </w:rPr>
              <w:t xml:space="preserve">2018 and 2019 are not available. We expect to provide this in the next report. </w:t>
            </w:r>
          </w:p>
          <w:p w14:paraId="134EF8D4" w14:textId="77777777" w:rsidR="00811F12" w:rsidRPr="00F20A14" w:rsidRDefault="00811F12" w:rsidP="001B6108">
            <w:pPr>
              <w:ind w:left="360"/>
              <w:rPr>
                <w:rFonts w:asciiTheme="minorHAnsi" w:hAnsiTheme="minorHAnsi" w:cstheme="minorHAnsi"/>
              </w:rPr>
            </w:pPr>
            <w:r w:rsidRPr="00F20A14">
              <w:rPr>
                <w:rFonts w:asciiTheme="minorHAnsi" w:hAnsiTheme="minorHAnsi" w:cstheme="minorHAnsi"/>
              </w:rPr>
              <w:t>26B: Number of people exposed to elevated concentrations of land transport-related air pollution</w:t>
            </w:r>
          </w:p>
          <w:p w14:paraId="57ACA001" w14:textId="77777777" w:rsidR="00811F12" w:rsidRPr="00F20A14" w:rsidRDefault="00811F12" w:rsidP="001B6108">
            <w:pPr>
              <w:ind w:left="360"/>
              <w:rPr>
                <w:rFonts w:asciiTheme="minorHAnsi" w:hAnsiTheme="minorHAnsi" w:cstheme="minorHAnsi"/>
              </w:rPr>
            </w:pPr>
            <w:r w:rsidRPr="00F20A14">
              <w:rPr>
                <w:rFonts w:asciiTheme="minorHAnsi" w:hAnsiTheme="minorHAnsi" w:cstheme="minorHAnsi"/>
              </w:rPr>
              <w:t>26C: Population harm from land transport-related air pollution</w:t>
            </w:r>
          </w:p>
          <w:p w14:paraId="14831FAE" w14:textId="77777777" w:rsidR="00811F12" w:rsidRPr="00C16CFF" w:rsidRDefault="00811F12" w:rsidP="001B6108">
            <w:pPr>
              <w:pStyle w:val="ListParagraph"/>
              <w:numPr>
                <w:ilvl w:val="1"/>
                <w:numId w:val="12"/>
              </w:numPr>
              <w:rPr>
                <w:rFonts w:asciiTheme="minorHAnsi" w:hAnsiTheme="minorHAnsi" w:cstheme="minorHAnsi"/>
                <w:b w:val="0"/>
              </w:rPr>
            </w:pPr>
            <w:r w:rsidRPr="00C16CFF">
              <w:rPr>
                <w:rFonts w:asciiTheme="minorHAnsi" w:hAnsiTheme="minorHAnsi" w:cstheme="minorHAnsi"/>
                <w:b w:val="0"/>
              </w:rPr>
              <w:t xml:space="preserve">This is not available. We expect to provide this in the next report. </w:t>
            </w:r>
          </w:p>
          <w:p w14:paraId="05631D79" w14:textId="77777777" w:rsidR="00811F12" w:rsidRPr="00F20A14" w:rsidRDefault="00811F12" w:rsidP="001B6108">
            <w:pPr>
              <w:ind w:left="360"/>
              <w:rPr>
                <w:rFonts w:asciiTheme="minorHAnsi" w:hAnsiTheme="minorHAnsi" w:cstheme="minorHAnsi"/>
              </w:rPr>
            </w:pPr>
            <w:r w:rsidRPr="00F20A14">
              <w:rPr>
                <w:rFonts w:asciiTheme="minorHAnsi" w:hAnsiTheme="minorHAnsi" w:cstheme="minorHAnsi"/>
              </w:rPr>
              <w:lastRenderedPageBreak/>
              <w:t>24B, 25B and 27B: Investments for the environment (GHG reduction, noise management, storm water quality management and biodiversity management)</w:t>
            </w:r>
          </w:p>
          <w:p w14:paraId="466E5478" w14:textId="77777777" w:rsidR="00811F12" w:rsidRPr="00C16CFF" w:rsidRDefault="00811F12" w:rsidP="001B6108">
            <w:pPr>
              <w:pStyle w:val="ListParagraph"/>
              <w:numPr>
                <w:ilvl w:val="1"/>
                <w:numId w:val="12"/>
              </w:numPr>
              <w:rPr>
                <w:rFonts w:asciiTheme="minorHAnsi" w:hAnsiTheme="minorHAnsi" w:cstheme="minorHAnsi"/>
                <w:b w:val="0"/>
              </w:rPr>
            </w:pPr>
            <w:r w:rsidRPr="00C16CFF">
              <w:rPr>
                <w:rFonts w:asciiTheme="minorHAnsi" w:hAnsiTheme="minorHAnsi" w:cstheme="minorHAnsi"/>
                <w:b w:val="0"/>
              </w:rPr>
              <w:t xml:space="preserve">This is not available. </w:t>
            </w:r>
          </w:p>
          <w:p w14:paraId="11AB4B33" w14:textId="77777777" w:rsidR="00811F12" w:rsidRPr="00F20A14" w:rsidRDefault="00811F12" w:rsidP="001B6108">
            <w:pPr>
              <w:ind w:left="360"/>
              <w:rPr>
                <w:rFonts w:asciiTheme="minorHAnsi" w:hAnsiTheme="minorHAnsi" w:cstheme="minorHAnsi"/>
              </w:rPr>
            </w:pPr>
            <w:r w:rsidRPr="00F20A14">
              <w:rPr>
                <w:rFonts w:asciiTheme="minorHAnsi" w:hAnsiTheme="minorHAnsi" w:cstheme="minorHAnsi"/>
              </w:rPr>
              <w:t>27A: Tonnes of selected contaminants discharged from the land transport network into sensitive water bodies</w:t>
            </w:r>
          </w:p>
          <w:p w14:paraId="7370A191" w14:textId="77777777" w:rsidR="00811F12" w:rsidRPr="00C16CFF" w:rsidRDefault="00811F12" w:rsidP="001B6108">
            <w:pPr>
              <w:pStyle w:val="ListParagraph"/>
              <w:numPr>
                <w:ilvl w:val="1"/>
                <w:numId w:val="12"/>
              </w:numPr>
              <w:rPr>
                <w:rFonts w:asciiTheme="minorHAnsi" w:hAnsiTheme="minorHAnsi" w:cstheme="minorHAnsi"/>
                <w:b w:val="0"/>
              </w:rPr>
            </w:pPr>
            <w:r w:rsidRPr="00C16CFF">
              <w:rPr>
                <w:rFonts w:asciiTheme="minorHAnsi" w:hAnsiTheme="minorHAnsi" w:cstheme="minorHAnsi"/>
                <w:b w:val="0"/>
              </w:rPr>
              <w:t xml:space="preserve">This is not available. </w:t>
            </w:r>
          </w:p>
          <w:p w14:paraId="42F320CD" w14:textId="77777777" w:rsidR="00811F12" w:rsidRPr="00F20A14" w:rsidRDefault="00811F12" w:rsidP="001B6108">
            <w:pPr>
              <w:spacing w:before="120" w:after="120"/>
              <w:ind w:left="360" w:right="-31"/>
              <w:rPr>
                <w:rFonts w:asciiTheme="minorHAnsi" w:hAnsiTheme="minorHAnsi" w:cstheme="minorHAnsi"/>
                <w:bCs w:val="0"/>
              </w:rPr>
            </w:pPr>
            <w:r w:rsidRPr="00F20A14">
              <w:rPr>
                <w:rFonts w:asciiTheme="minorHAnsi" w:hAnsiTheme="minorHAnsi" w:cstheme="minorHAnsi"/>
              </w:rPr>
              <w:t xml:space="preserve">29E: Projected versus realised benefits and costs of funded activities </w:t>
            </w:r>
          </w:p>
          <w:p w14:paraId="043E2C52" w14:textId="77777777" w:rsidR="00811F12" w:rsidRPr="00C16CFF" w:rsidRDefault="00811F12" w:rsidP="001B6108">
            <w:pPr>
              <w:pStyle w:val="ListParagraph"/>
              <w:numPr>
                <w:ilvl w:val="1"/>
                <w:numId w:val="12"/>
              </w:numPr>
              <w:rPr>
                <w:rFonts w:asciiTheme="minorHAnsi" w:hAnsiTheme="minorHAnsi" w:cstheme="minorHAnsi"/>
                <w:b w:val="0"/>
              </w:rPr>
            </w:pPr>
            <w:r w:rsidRPr="00C16CFF">
              <w:rPr>
                <w:rFonts w:asciiTheme="minorHAnsi" w:hAnsiTheme="minorHAnsi" w:cstheme="minorHAnsi"/>
                <w:b w:val="0"/>
              </w:rPr>
              <w:t xml:space="preserve">This is not available. Benefits realisation processes are under development as part of the new benefits framework and management approach that was released in August 2020. </w:t>
            </w:r>
          </w:p>
          <w:p w14:paraId="60370314" w14:textId="77777777" w:rsidR="00811F12" w:rsidRPr="00F20A14" w:rsidRDefault="00811F12" w:rsidP="001B6108">
            <w:pPr>
              <w:pStyle w:val="BodyText"/>
              <w:spacing w:before="120" w:after="120"/>
              <w:ind w:left="360"/>
              <w:rPr>
                <w:rFonts w:asciiTheme="minorHAnsi" w:hAnsiTheme="minorHAnsi" w:cstheme="minorHAnsi"/>
              </w:rPr>
            </w:pPr>
            <w:r w:rsidRPr="00F20A14">
              <w:rPr>
                <w:rFonts w:asciiTheme="minorHAnsi" w:hAnsiTheme="minorHAnsi" w:cstheme="minorHAnsi"/>
              </w:rPr>
              <w:t>32A: Realised benefits relating to innovation for internal and external projects (size and scope appropriate)</w:t>
            </w:r>
          </w:p>
          <w:p w14:paraId="397E066F" w14:textId="77777777" w:rsidR="00811F12" w:rsidRPr="00C16CFF" w:rsidRDefault="00811F12" w:rsidP="001B6108">
            <w:pPr>
              <w:pStyle w:val="ListParagraph"/>
              <w:numPr>
                <w:ilvl w:val="1"/>
                <w:numId w:val="12"/>
              </w:numPr>
              <w:rPr>
                <w:rFonts w:asciiTheme="minorHAnsi" w:hAnsiTheme="minorHAnsi" w:cstheme="minorHAnsi"/>
                <w:b w:val="0"/>
              </w:rPr>
            </w:pPr>
            <w:r w:rsidRPr="00C16CFF">
              <w:rPr>
                <w:rFonts w:asciiTheme="minorHAnsi" w:hAnsiTheme="minorHAnsi" w:cstheme="minorHAnsi"/>
                <w:b w:val="0"/>
              </w:rPr>
              <w:t xml:space="preserve">This is not available. Benefits realisation processes are under development as part of the new benefits framework and management approach that was released in August 2020. </w:t>
            </w:r>
          </w:p>
        </w:tc>
      </w:tr>
    </w:tbl>
    <w:p w14:paraId="3ECCB390" w14:textId="77777777" w:rsidR="00232D31" w:rsidRDefault="00232D31" w:rsidP="005D66F0">
      <w:pPr>
        <w:rPr>
          <w:b/>
          <w:sz w:val="32"/>
          <w:u w:val="single"/>
        </w:rPr>
      </w:pPr>
    </w:p>
    <w:p w14:paraId="4E115E39" w14:textId="4667F04B" w:rsidR="00340745" w:rsidRDefault="00340745" w:rsidP="00340745">
      <w:pPr>
        <w:rPr>
          <w:b/>
          <w:sz w:val="32"/>
          <w:u w:val="single"/>
        </w:rPr>
      </w:pPr>
      <w:r>
        <w:rPr>
          <w:b/>
          <w:sz w:val="32"/>
          <w:u w:val="single"/>
        </w:rPr>
        <w:t>Appendix B – GPS</w:t>
      </w:r>
      <w:r w:rsidR="004A20F0">
        <w:rPr>
          <w:b/>
          <w:sz w:val="32"/>
          <w:u w:val="single"/>
        </w:rPr>
        <w:t>2018 Measures</w:t>
      </w:r>
      <w:r>
        <w:rPr>
          <w:b/>
          <w:sz w:val="32"/>
          <w:u w:val="single"/>
        </w:rPr>
        <w:t xml:space="preserve"> </w:t>
      </w:r>
    </w:p>
    <w:p w14:paraId="0B58926B" w14:textId="5ED17937" w:rsidR="00340745" w:rsidRPr="004329DC" w:rsidRDefault="00340745" w:rsidP="00340745">
      <w:pPr>
        <w:rPr>
          <w:b/>
        </w:rPr>
      </w:pPr>
      <w:r>
        <w:rPr>
          <w:b/>
        </w:rPr>
        <w:t>Safety:</w:t>
      </w:r>
    </w:p>
    <w:tbl>
      <w:tblPr>
        <w:tblStyle w:val="GridTable4-Accent4"/>
        <w:tblW w:w="5000" w:type="pct"/>
        <w:tblLook w:val="04A0" w:firstRow="1" w:lastRow="0" w:firstColumn="1" w:lastColumn="0" w:noHBand="0" w:noVBand="1"/>
      </w:tblPr>
      <w:tblGrid>
        <w:gridCol w:w="10456"/>
      </w:tblGrid>
      <w:tr w:rsidR="00340745" w:rsidRPr="00BA0BD0" w14:paraId="71F81F50" w14:textId="77777777" w:rsidTr="00E738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5FF5C0F3" w14:textId="77777777" w:rsidR="00340745" w:rsidRPr="00B441D2" w:rsidRDefault="00340745" w:rsidP="00E73878">
            <w:pPr>
              <w:rPr>
                <w:b w:val="0"/>
              </w:rPr>
            </w:pPr>
            <w:r w:rsidRPr="00B441D2">
              <w:rPr>
                <w:b w:val="0"/>
              </w:rPr>
              <w:t>Long-term results (10+ years)</w:t>
            </w:r>
          </w:p>
        </w:tc>
      </w:tr>
      <w:tr w:rsidR="00340745" w:rsidRPr="00BA0BD0" w14:paraId="72D414D0" w14:textId="77777777" w:rsidTr="00E73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56D635A0" w14:textId="77777777" w:rsidR="00340745" w:rsidRPr="00B441D2" w:rsidRDefault="00340745" w:rsidP="00E73878">
            <w:pPr>
              <w:pStyle w:val="ListParagraph"/>
              <w:numPr>
                <w:ilvl w:val="0"/>
                <w:numId w:val="2"/>
              </w:numPr>
              <w:spacing w:before="40" w:after="40"/>
              <w:ind w:left="320" w:hanging="283"/>
              <w:contextualSpacing w:val="0"/>
              <w:rPr>
                <w:b w:val="0"/>
              </w:rPr>
            </w:pPr>
            <w:r w:rsidRPr="00B441D2">
              <w:rPr>
                <w:b w:val="0"/>
              </w:rPr>
              <w:t>Significant reduction in deaths and serious injuries</w:t>
            </w:r>
          </w:p>
        </w:tc>
      </w:tr>
      <w:tr w:rsidR="00340745" w:rsidRPr="00BA0BD0" w14:paraId="2C8F8A07" w14:textId="77777777" w:rsidTr="00E73878">
        <w:tc>
          <w:tcPr>
            <w:cnfStyle w:val="001000000000" w:firstRow="0" w:lastRow="0" w:firstColumn="1" w:lastColumn="0" w:oddVBand="0" w:evenVBand="0" w:oddHBand="0" w:evenHBand="0" w:firstRowFirstColumn="0" w:firstRowLastColumn="0" w:lastRowFirstColumn="0" w:lastRowLastColumn="0"/>
            <w:tcW w:w="5000" w:type="pct"/>
            <w:shd w:val="clear" w:color="auto" w:fill="FFC000" w:themeFill="accent4"/>
          </w:tcPr>
          <w:p w14:paraId="4D2F59A9" w14:textId="77777777" w:rsidR="00340745" w:rsidRPr="00B441D2" w:rsidRDefault="00340745" w:rsidP="00E73878">
            <w:pPr>
              <w:spacing w:before="40" w:after="40"/>
              <w:rPr>
                <w:b w:val="0"/>
              </w:rPr>
            </w:pPr>
            <w:r w:rsidRPr="00B441D2">
              <w:rPr>
                <w:b w:val="0"/>
                <w:color w:val="FFFFFF" w:themeColor="background1"/>
              </w:rPr>
              <w:t>Short- to medium-term results (3-6+ years)</w:t>
            </w:r>
          </w:p>
        </w:tc>
      </w:tr>
      <w:tr w:rsidR="00340745" w:rsidRPr="00BA0BD0" w14:paraId="69071E9C" w14:textId="77777777" w:rsidTr="00E73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19AEFC06" w14:textId="77777777" w:rsidR="00340745" w:rsidRPr="00B441D2" w:rsidRDefault="00340745" w:rsidP="00E73878">
            <w:pPr>
              <w:pStyle w:val="ListParagraph"/>
              <w:numPr>
                <w:ilvl w:val="0"/>
                <w:numId w:val="2"/>
              </w:numPr>
              <w:spacing w:before="40" w:after="40"/>
              <w:ind w:left="320" w:hanging="283"/>
              <w:contextualSpacing w:val="0"/>
              <w:rPr>
                <w:b w:val="0"/>
              </w:rPr>
            </w:pPr>
            <w:r w:rsidRPr="00B441D2">
              <w:rPr>
                <w:b w:val="0"/>
              </w:rPr>
              <w:t>Renewed strategic focus to have the greatest impact on reducing death and serious injury</w:t>
            </w:r>
          </w:p>
        </w:tc>
      </w:tr>
      <w:tr w:rsidR="00340745" w:rsidRPr="00BA0BD0" w14:paraId="75BB440E" w14:textId="77777777" w:rsidTr="00E73878">
        <w:tc>
          <w:tcPr>
            <w:cnfStyle w:val="001000000000" w:firstRow="0" w:lastRow="0" w:firstColumn="1" w:lastColumn="0" w:oddVBand="0" w:evenVBand="0" w:oddHBand="0" w:evenHBand="0" w:firstRowFirstColumn="0" w:firstRowLastColumn="0" w:lastRowFirstColumn="0" w:lastRowLastColumn="0"/>
            <w:tcW w:w="5000" w:type="pct"/>
          </w:tcPr>
          <w:p w14:paraId="512E3BDC" w14:textId="77777777" w:rsidR="00340745" w:rsidRPr="00B441D2" w:rsidRDefault="00340745" w:rsidP="00E73878">
            <w:pPr>
              <w:pStyle w:val="ListParagraph"/>
              <w:numPr>
                <w:ilvl w:val="0"/>
                <w:numId w:val="2"/>
              </w:numPr>
              <w:spacing w:before="40" w:after="40"/>
              <w:ind w:left="320" w:hanging="283"/>
              <w:contextualSpacing w:val="0"/>
              <w:rPr>
                <w:b w:val="0"/>
              </w:rPr>
            </w:pPr>
            <w:r w:rsidRPr="00B441D2">
              <w:rPr>
                <w:b w:val="0"/>
              </w:rPr>
              <w:t xml:space="preserve">State highways and local roads are safer for everyone </w:t>
            </w:r>
          </w:p>
        </w:tc>
      </w:tr>
      <w:tr w:rsidR="00340745" w:rsidRPr="00BA0BD0" w14:paraId="19419052" w14:textId="77777777" w:rsidTr="00E73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2C2EC4D3" w14:textId="77777777" w:rsidR="00340745" w:rsidRPr="00B441D2" w:rsidRDefault="00340745" w:rsidP="00E73878">
            <w:pPr>
              <w:pStyle w:val="ListParagraph"/>
              <w:numPr>
                <w:ilvl w:val="0"/>
                <w:numId w:val="2"/>
              </w:numPr>
              <w:spacing w:before="40" w:after="40"/>
              <w:ind w:left="320" w:hanging="283"/>
              <w:contextualSpacing w:val="0"/>
              <w:rPr>
                <w:b w:val="0"/>
              </w:rPr>
            </w:pPr>
            <w:r w:rsidRPr="00B441D2">
              <w:rPr>
                <w:b w:val="0"/>
              </w:rPr>
              <w:t xml:space="preserve">Cycling and walking is safer </w:t>
            </w:r>
          </w:p>
        </w:tc>
      </w:tr>
      <w:tr w:rsidR="00340745" w:rsidRPr="00BA0BD0" w14:paraId="57547AEA" w14:textId="77777777" w:rsidTr="00E73878">
        <w:tc>
          <w:tcPr>
            <w:cnfStyle w:val="001000000000" w:firstRow="0" w:lastRow="0" w:firstColumn="1" w:lastColumn="0" w:oddVBand="0" w:evenVBand="0" w:oddHBand="0" w:evenHBand="0" w:firstRowFirstColumn="0" w:firstRowLastColumn="0" w:lastRowFirstColumn="0" w:lastRowLastColumn="0"/>
            <w:tcW w:w="5000" w:type="pct"/>
          </w:tcPr>
          <w:p w14:paraId="034A6013" w14:textId="77777777" w:rsidR="00340745" w:rsidRPr="00B441D2" w:rsidRDefault="00340745" w:rsidP="00E73878">
            <w:pPr>
              <w:pStyle w:val="ListParagraph"/>
              <w:numPr>
                <w:ilvl w:val="0"/>
                <w:numId w:val="2"/>
              </w:numPr>
              <w:spacing w:before="40" w:after="40"/>
              <w:ind w:left="320" w:hanging="283"/>
              <w:contextualSpacing w:val="0"/>
              <w:rPr>
                <w:b w:val="0"/>
              </w:rPr>
            </w:pPr>
            <w:r w:rsidRPr="00B441D2">
              <w:rPr>
                <w:b w:val="0"/>
              </w:rPr>
              <w:t>Effective enforcement activity to promote safe behaviour by road users</w:t>
            </w:r>
          </w:p>
        </w:tc>
      </w:tr>
      <w:tr w:rsidR="00340745" w:rsidRPr="00BA0BD0" w14:paraId="0DDC97D4" w14:textId="77777777" w:rsidTr="00E73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5EFC3DD2" w14:textId="77777777" w:rsidR="00340745" w:rsidRPr="00B441D2" w:rsidRDefault="00340745" w:rsidP="00E73878">
            <w:pPr>
              <w:pStyle w:val="ListParagraph"/>
              <w:numPr>
                <w:ilvl w:val="0"/>
                <w:numId w:val="2"/>
              </w:numPr>
              <w:spacing w:before="40" w:after="40"/>
              <w:ind w:left="320" w:hanging="283"/>
              <w:contextualSpacing w:val="0"/>
              <w:rPr>
                <w:b w:val="0"/>
              </w:rPr>
            </w:pPr>
            <w:r w:rsidRPr="00B441D2">
              <w:rPr>
                <w:b w:val="0"/>
              </w:rPr>
              <w:t xml:space="preserve">Safer road use through appropriate education and promotion activities, and regulatory changes </w:t>
            </w:r>
          </w:p>
        </w:tc>
      </w:tr>
    </w:tbl>
    <w:p w14:paraId="62B96120" w14:textId="77777777" w:rsidR="00340745" w:rsidRDefault="00340745" w:rsidP="00340745">
      <w:pPr>
        <w:rPr>
          <w:b/>
          <w:sz w:val="32"/>
          <w:u w:val="single"/>
        </w:rPr>
      </w:pPr>
    </w:p>
    <w:p w14:paraId="7CD002E8" w14:textId="02AC5E59" w:rsidR="00340745" w:rsidRPr="006678B8" w:rsidRDefault="00340745" w:rsidP="00340745">
      <w:pPr>
        <w:rPr>
          <w:b/>
        </w:rPr>
      </w:pPr>
      <w:r>
        <w:rPr>
          <w:b/>
        </w:rPr>
        <w:t>Access:</w:t>
      </w:r>
    </w:p>
    <w:tbl>
      <w:tblPr>
        <w:tblStyle w:val="GridTable4-Accent4"/>
        <w:tblW w:w="5000" w:type="pct"/>
        <w:shd w:val="clear" w:color="auto" w:fill="EDF8AA"/>
        <w:tblLook w:val="04A0" w:firstRow="1" w:lastRow="0" w:firstColumn="1" w:lastColumn="0" w:noHBand="0" w:noVBand="1"/>
      </w:tblPr>
      <w:tblGrid>
        <w:gridCol w:w="10456"/>
      </w:tblGrid>
      <w:tr w:rsidR="00340745" w:rsidRPr="00BA0BD0" w14:paraId="1E21520B" w14:textId="77777777" w:rsidTr="00E738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B4D012"/>
          </w:tcPr>
          <w:p w14:paraId="530C68E7" w14:textId="77777777" w:rsidR="00340745" w:rsidRPr="00B441D2" w:rsidRDefault="00340745" w:rsidP="00E73878">
            <w:pPr>
              <w:rPr>
                <w:b w:val="0"/>
              </w:rPr>
            </w:pPr>
            <w:r w:rsidRPr="00B441D2">
              <w:rPr>
                <w:b w:val="0"/>
              </w:rPr>
              <w:t>Long-term results</w:t>
            </w:r>
          </w:p>
        </w:tc>
      </w:tr>
      <w:tr w:rsidR="00340745" w:rsidRPr="00BA0BD0" w14:paraId="00DCC385" w14:textId="77777777" w:rsidTr="00E73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DF8AA"/>
          </w:tcPr>
          <w:p w14:paraId="7F552797" w14:textId="77777777" w:rsidR="00340745" w:rsidRPr="00B441D2" w:rsidRDefault="00340745" w:rsidP="00E73878">
            <w:pPr>
              <w:pStyle w:val="ListParagraph"/>
              <w:numPr>
                <w:ilvl w:val="0"/>
                <w:numId w:val="2"/>
              </w:numPr>
              <w:spacing w:before="40" w:after="40"/>
              <w:ind w:left="320" w:hanging="283"/>
              <w:contextualSpacing w:val="0"/>
              <w:rPr>
                <w:b w:val="0"/>
              </w:rPr>
            </w:pPr>
            <w:r w:rsidRPr="00B441D2">
              <w:rPr>
                <w:b w:val="0"/>
              </w:rPr>
              <w:t xml:space="preserve">Metropolitan and high growth urban areas are better connected and accessible </w:t>
            </w:r>
          </w:p>
        </w:tc>
      </w:tr>
      <w:tr w:rsidR="00340745" w:rsidRPr="00BA0BD0" w14:paraId="74B08FFC" w14:textId="77777777" w:rsidTr="00E73878">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30457BF1" w14:textId="77777777" w:rsidR="00340745" w:rsidRPr="00B441D2" w:rsidRDefault="00340745" w:rsidP="00E73878">
            <w:pPr>
              <w:pStyle w:val="ListParagraph"/>
              <w:numPr>
                <w:ilvl w:val="0"/>
                <w:numId w:val="2"/>
              </w:numPr>
              <w:spacing w:before="40" w:after="40"/>
              <w:ind w:left="320" w:hanging="283"/>
              <w:contextualSpacing w:val="0"/>
              <w:rPr>
                <w:b w:val="0"/>
              </w:rPr>
            </w:pPr>
            <w:r w:rsidRPr="00B441D2">
              <w:rPr>
                <w:b w:val="0"/>
              </w:rPr>
              <w:t xml:space="preserve">Better access to markets, business areas and supporting tourism </w:t>
            </w:r>
          </w:p>
        </w:tc>
      </w:tr>
      <w:tr w:rsidR="00340745" w:rsidRPr="00BA0BD0" w14:paraId="2D769458" w14:textId="77777777" w:rsidTr="00E73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DF8AA"/>
          </w:tcPr>
          <w:p w14:paraId="3490AE2C" w14:textId="77777777" w:rsidR="00340745" w:rsidRPr="00B441D2" w:rsidRDefault="00340745" w:rsidP="00E73878">
            <w:pPr>
              <w:pStyle w:val="ListParagraph"/>
              <w:numPr>
                <w:ilvl w:val="0"/>
                <w:numId w:val="2"/>
              </w:numPr>
              <w:spacing w:before="40" w:after="40"/>
              <w:ind w:left="320" w:hanging="283"/>
              <w:contextualSpacing w:val="0"/>
              <w:rPr>
                <w:b w:val="0"/>
              </w:rPr>
            </w:pPr>
            <w:r w:rsidRPr="00B441D2">
              <w:rPr>
                <w:b w:val="0"/>
              </w:rPr>
              <w:t xml:space="preserve">Sustainable economic development of regional New Zealand is supported by safer and better transport connections </w:t>
            </w:r>
          </w:p>
        </w:tc>
      </w:tr>
      <w:tr w:rsidR="00340745" w:rsidRPr="00BA0BD0" w14:paraId="77CE8CF7" w14:textId="77777777" w:rsidTr="00E73878">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3925BCF3" w14:textId="77777777" w:rsidR="00340745" w:rsidRPr="00B441D2" w:rsidRDefault="00340745" w:rsidP="00E73878">
            <w:pPr>
              <w:pStyle w:val="ListParagraph"/>
              <w:numPr>
                <w:ilvl w:val="0"/>
                <w:numId w:val="2"/>
              </w:numPr>
              <w:spacing w:before="40" w:after="40"/>
              <w:ind w:left="320" w:hanging="283"/>
              <w:contextualSpacing w:val="0"/>
              <w:rPr>
                <w:b w:val="0"/>
              </w:rPr>
            </w:pPr>
            <w:r w:rsidRPr="00B441D2">
              <w:rPr>
                <w:b w:val="0"/>
              </w:rPr>
              <w:t xml:space="preserve">Increased mode shift from private vehicle trips to walking, cycling and public transport </w:t>
            </w:r>
          </w:p>
        </w:tc>
      </w:tr>
      <w:tr w:rsidR="00340745" w:rsidRPr="00BA0BD0" w14:paraId="6C3E7B05" w14:textId="77777777" w:rsidTr="00E73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DF8AA"/>
          </w:tcPr>
          <w:p w14:paraId="4A02E600" w14:textId="77777777" w:rsidR="00340745" w:rsidRPr="00B441D2" w:rsidRDefault="00340745" w:rsidP="00E73878">
            <w:pPr>
              <w:pStyle w:val="ListParagraph"/>
              <w:numPr>
                <w:ilvl w:val="0"/>
                <w:numId w:val="2"/>
              </w:numPr>
              <w:spacing w:before="40" w:after="40"/>
              <w:ind w:left="320" w:hanging="283"/>
              <w:contextualSpacing w:val="0"/>
              <w:rPr>
                <w:b w:val="0"/>
              </w:rPr>
            </w:pPr>
            <w:r w:rsidRPr="00B441D2">
              <w:rPr>
                <w:b w:val="0"/>
              </w:rPr>
              <w:t>More transport choice (including for people will less or limited access to transport)</w:t>
            </w:r>
          </w:p>
        </w:tc>
      </w:tr>
      <w:tr w:rsidR="00340745" w:rsidRPr="00BA0BD0" w14:paraId="5850B3D7" w14:textId="77777777" w:rsidTr="00E73878">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340253AC" w14:textId="77777777" w:rsidR="00340745" w:rsidRPr="00B441D2" w:rsidRDefault="00340745" w:rsidP="00E73878">
            <w:pPr>
              <w:pStyle w:val="ListParagraph"/>
              <w:numPr>
                <w:ilvl w:val="0"/>
                <w:numId w:val="2"/>
              </w:numPr>
              <w:spacing w:before="40" w:after="40"/>
              <w:ind w:left="320" w:hanging="283"/>
              <w:contextualSpacing w:val="0"/>
              <w:rPr>
                <w:b w:val="0"/>
              </w:rPr>
            </w:pPr>
            <w:r w:rsidRPr="00B441D2">
              <w:rPr>
                <w:b w:val="0"/>
              </w:rPr>
              <w:t xml:space="preserve">Improved network resilience for the most critical connections </w:t>
            </w:r>
          </w:p>
        </w:tc>
      </w:tr>
      <w:tr w:rsidR="00340745" w:rsidRPr="00BA0BD0" w14:paraId="26D2C879" w14:textId="77777777" w:rsidTr="00E73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B4D012"/>
          </w:tcPr>
          <w:p w14:paraId="2B102E73" w14:textId="77777777" w:rsidR="00340745" w:rsidRPr="00B441D2" w:rsidRDefault="00340745" w:rsidP="00E73878">
            <w:pPr>
              <w:spacing w:before="40" w:after="40"/>
              <w:rPr>
                <w:b w:val="0"/>
              </w:rPr>
            </w:pPr>
            <w:r w:rsidRPr="00B441D2">
              <w:rPr>
                <w:b w:val="0"/>
                <w:color w:val="FFFFFF" w:themeColor="background1"/>
              </w:rPr>
              <w:t xml:space="preserve">Short-term results </w:t>
            </w:r>
          </w:p>
        </w:tc>
      </w:tr>
      <w:tr w:rsidR="00340745" w:rsidRPr="00BA0BD0" w14:paraId="5AFEB285" w14:textId="77777777" w:rsidTr="00E73878">
        <w:tc>
          <w:tcPr>
            <w:cnfStyle w:val="001000000000" w:firstRow="0" w:lastRow="0" w:firstColumn="1" w:lastColumn="0" w:oddVBand="0" w:evenVBand="0" w:oddHBand="0" w:evenHBand="0" w:firstRowFirstColumn="0" w:firstRowLastColumn="0" w:lastRowFirstColumn="0" w:lastRowLastColumn="0"/>
            <w:tcW w:w="5000" w:type="pct"/>
            <w:shd w:val="clear" w:color="auto" w:fill="EDF8AA"/>
          </w:tcPr>
          <w:p w14:paraId="7F618380" w14:textId="77777777" w:rsidR="00340745" w:rsidRPr="00B441D2" w:rsidRDefault="00340745" w:rsidP="00E73878">
            <w:pPr>
              <w:pStyle w:val="ListParagraph"/>
              <w:numPr>
                <w:ilvl w:val="0"/>
                <w:numId w:val="2"/>
              </w:numPr>
              <w:spacing w:before="40" w:after="40"/>
              <w:ind w:left="320" w:hanging="283"/>
              <w:contextualSpacing w:val="0"/>
              <w:rPr>
                <w:b w:val="0"/>
              </w:rPr>
            </w:pPr>
            <w:r w:rsidRPr="00B441D2">
              <w:rPr>
                <w:b w:val="0"/>
              </w:rPr>
              <w:t>A more accessible and better-integrated transport network including public transport, walking and cycling</w:t>
            </w:r>
          </w:p>
        </w:tc>
      </w:tr>
      <w:tr w:rsidR="00340745" w:rsidRPr="00BA0BD0" w14:paraId="1EB8A711" w14:textId="77777777" w:rsidTr="00E73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78137D3E" w14:textId="77777777" w:rsidR="00340745" w:rsidRPr="00B441D2" w:rsidRDefault="00340745" w:rsidP="00E73878">
            <w:pPr>
              <w:pStyle w:val="ListParagraph"/>
              <w:numPr>
                <w:ilvl w:val="0"/>
                <w:numId w:val="2"/>
              </w:numPr>
              <w:spacing w:before="40" w:after="40"/>
              <w:ind w:left="320" w:hanging="283"/>
              <w:contextualSpacing w:val="0"/>
              <w:rPr>
                <w:b w:val="0"/>
              </w:rPr>
            </w:pPr>
            <w:r w:rsidRPr="00B441D2">
              <w:rPr>
                <w:b w:val="0"/>
              </w:rPr>
              <w:t xml:space="preserve">Improved land use and transport planning to create more liveable cities </w:t>
            </w:r>
          </w:p>
        </w:tc>
      </w:tr>
      <w:tr w:rsidR="00340745" w:rsidRPr="00BA0BD0" w14:paraId="3ED9D422" w14:textId="77777777" w:rsidTr="00E73878">
        <w:tc>
          <w:tcPr>
            <w:cnfStyle w:val="001000000000" w:firstRow="0" w:lastRow="0" w:firstColumn="1" w:lastColumn="0" w:oddVBand="0" w:evenVBand="0" w:oddHBand="0" w:evenHBand="0" w:firstRowFirstColumn="0" w:firstRowLastColumn="0" w:lastRowFirstColumn="0" w:lastRowLastColumn="0"/>
            <w:tcW w:w="5000" w:type="pct"/>
            <w:shd w:val="clear" w:color="auto" w:fill="EDF8AA"/>
          </w:tcPr>
          <w:p w14:paraId="2CEDEE40" w14:textId="77777777" w:rsidR="00340745" w:rsidRPr="00B441D2" w:rsidRDefault="00340745" w:rsidP="00E73878">
            <w:pPr>
              <w:pStyle w:val="ListParagraph"/>
              <w:numPr>
                <w:ilvl w:val="0"/>
                <w:numId w:val="2"/>
              </w:numPr>
              <w:spacing w:before="40" w:after="40"/>
              <w:ind w:left="320" w:hanging="283"/>
              <w:contextualSpacing w:val="0"/>
              <w:rPr>
                <w:b w:val="0"/>
              </w:rPr>
            </w:pPr>
            <w:r w:rsidRPr="00B441D2">
              <w:rPr>
                <w:b w:val="0"/>
              </w:rPr>
              <w:t>Improved throughput of people and goods in metropolitan areas</w:t>
            </w:r>
          </w:p>
        </w:tc>
      </w:tr>
      <w:tr w:rsidR="00340745" w:rsidRPr="00BA0BD0" w14:paraId="70195298" w14:textId="77777777" w:rsidTr="00E73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45ABEFBF" w14:textId="77777777" w:rsidR="00340745" w:rsidRPr="00B441D2" w:rsidRDefault="00340745" w:rsidP="00E73878">
            <w:pPr>
              <w:pStyle w:val="ListParagraph"/>
              <w:numPr>
                <w:ilvl w:val="0"/>
                <w:numId w:val="2"/>
              </w:numPr>
              <w:spacing w:before="40" w:after="40"/>
              <w:ind w:left="320" w:hanging="283"/>
              <w:contextualSpacing w:val="0"/>
              <w:rPr>
                <w:b w:val="0"/>
              </w:rPr>
            </w:pPr>
            <w:r w:rsidRPr="00B441D2">
              <w:rPr>
                <w:b w:val="0"/>
              </w:rPr>
              <w:t>Improved transport access to new and existing housing including provision of public transport services</w:t>
            </w:r>
          </w:p>
        </w:tc>
      </w:tr>
      <w:tr w:rsidR="00340745" w:rsidRPr="00BA0BD0" w14:paraId="259F6132" w14:textId="77777777" w:rsidTr="00E73878">
        <w:tc>
          <w:tcPr>
            <w:cnfStyle w:val="001000000000" w:firstRow="0" w:lastRow="0" w:firstColumn="1" w:lastColumn="0" w:oddVBand="0" w:evenVBand="0" w:oddHBand="0" w:evenHBand="0" w:firstRowFirstColumn="0" w:firstRowLastColumn="0" w:lastRowFirstColumn="0" w:lastRowLastColumn="0"/>
            <w:tcW w:w="5000" w:type="pct"/>
            <w:shd w:val="clear" w:color="auto" w:fill="EDF8AA"/>
          </w:tcPr>
          <w:p w14:paraId="168273C1" w14:textId="77777777" w:rsidR="00340745" w:rsidRPr="00B441D2" w:rsidRDefault="00340745" w:rsidP="00E73878">
            <w:pPr>
              <w:pStyle w:val="ListParagraph"/>
              <w:numPr>
                <w:ilvl w:val="0"/>
                <w:numId w:val="2"/>
              </w:numPr>
              <w:spacing w:before="40" w:after="40"/>
              <w:ind w:left="320" w:hanging="283"/>
              <w:contextualSpacing w:val="0"/>
              <w:rPr>
                <w:b w:val="0"/>
              </w:rPr>
            </w:pPr>
            <w:r w:rsidRPr="00B441D2">
              <w:rPr>
                <w:b w:val="0"/>
              </w:rPr>
              <w:t xml:space="preserve">Nationally important transport connections are maintained or improved to support areas of growth, changes in population freight and tourism and to improve safety </w:t>
            </w:r>
          </w:p>
        </w:tc>
      </w:tr>
      <w:tr w:rsidR="00340745" w:rsidRPr="00BA0BD0" w14:paraId="0894CC4F" w14:textId="77777777" w:rsidTr="00E73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6E6089D6" w14:textId="77777777" w:rsidR="00340745" w:rsidRPr="00B441D2" w:rsidRDefault="00340745" w:rsidP="00E73878">
            <w:pPr>
              <w:pStyle w:val="ListParagraph"/>
              <w:numPr>
                <w:ilvl w:val="0"/>
                <w:numId w:val="2"/>
              </w:numPr>
              <w:spacing w:before="40" w:after="40"/>
              <w:ind w:left="320" w:hanging="283"/>
              <w:contextualSpacing w:val="0"/>
              <w:rPr>
                <w:b w:val="0"/>
              </w:rPr>
            </w:pPr>
            <w:r w:rsidRPr="00B441D2">
              <w:rPr>
                <w:b w:val="0"/>
              </w:rPr>
              <w:lastRenderedPageBreak/>
              <w:t>Regional networks (including key regional freight routes) are safer, better connected and more resilience</w:t>
            </w:r>
          </w:p>
        </w:tc>
      </w:tr>
      <w:tr w:rsidR="00340745" w:rsidRPr="00BA0BD0" w14:paraId="62E41E47" w14:textId="77777777" w:rsidTr="00E73878">
        <w:tc>
          <w:tcPr>
            <w:cnfStyle w:val="001000000000" w:firstRow="0" w:lastRow="0" w:firstColumn="1" w:lastColumn="0" w:oddVBand="0" w:evenVBand="0" w:oddHBand="0" w:evenHBand="0" w:firstRowFirstColumn="0" w:firstRowLastColumn="0" w:lastRowFirstColumn="0" w:lastRowLastColumn="0"/>
            <w:tcW w:w="5000" w:type="pct"/>
            <w:shd w:val="clear" w:color="auto" w:fill="EDF8AA"/>
          </w:tcPr>
          <w:p w14:paraId="4F6EA606" w14:textId="77777777" w:rsidR="00340745" w:rsidRPr="00B441D2" w:rsidRDefault="00340745" w:rsidP="00E73878">
            <w:pPr>
              <w:pStyle w:val="ListParagraph"/>
              <w:numPr>
                <w:ilvl w:val="0"/>
                <w:numId w:val="2"/>
              </w:numPr>
              <w:spacing w:before="40" w:after="40"/>
              <w:ind w:left="320" w:hanging="283"/>
              <w:contextualSpacing w:val="0"/>
              <w:rPr>
                <w:b w:val="0"/>
              </w:rPr>
            </w:pPr>
            <w:r w:rsidRPr="00B441D2">
              <w:rPr>
                <w:b w:val="0"/>
              </w:rPr>
              <w:t xml:space="preserve">Improved connections (including local roads, public transport and active modes) on key regional tourist routes to make these routes safer for all </w:t>
            </w:r>
          </w:p>
        </w:tc>
      </w:tr>
      <w:tr w:rsidR="00340745" w:rsidRPr="00BA0BD0" w14:paraId="61A80212" w14:textId="77777777" w:rsidTr="00E73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646A6B6C" w14:textId="77777777" w:rsidR="00340745" w:rsidRPr="00B441D2" w:rsidRDefault="00340745" w:rsidP="00E73878">
            <w:pPr>
              <w:pStyle w:val="ListParagraph"/>
              <w:numPr>
                <w:ilvl w:val="0"/>
                <w:numId w:val="2"/>
              </w:numPr>
              <w:spacing w:before="40" w:after="40"/>
              <w:ind w:left="320" w:hanging="283"/>
              <w:contextualSpacing w:val="0"/>
              <w:rPr>
                <w:b w:val="0"/>
              </w:rPr>
            </w:pPr>
            <w:r w:rsidRPr="00B441D2">
              <w:rPr>
                <w:b w:val="0"/>
              </w:rPr>
              <w:t xml:space="preserve">A reduction in overall single-occupant private vehicle travel in urban areas </w:t>
            </w:r>
          </w:p>
        </w:tc>
      </w:tr>
      <w:tr w:rsidR="00340745" w:rsidRPr="00BA0BD0" w14:paraId="779E52D9" w14:textId="77777777" w:rsidTr="00E73878">
        <w:tc>
          <w:tcPr>
            <w:cnfStyle w:val="001000000000" w:firstRow="0" w:lastRow="0" w:firstColumn="1" w:lastColumn="0" w:oddVBand="0" w:evenVBand="0" w:oddHBand="0" w:evenHBand="0" w:firstRowFirstColumn="0" w:firstRowLastColumn="0" w:lastRowFirstColumn="0" w:lastRowLastColumn="0"/>
            <w:tcW w:w="5000" w:type="pct"/>
            <w:shd w:val="clear" w:color="auto" w:fill="EDF8AA"/>
          </w:tcPr>
          <w:p w14:paraId="056465B4" w14:textId="77777777" w:rsidR="00340745" w:rsidRPr="00B441D2" w:rsidRDefault="00340745" w:rsidP="00E73878">
            <w:pPr>
              <w:pStyle w:val="ListParagraph"/>
              <w:numPr>
                <w:ilvl w:val="0"/>
                <w:numId w:val="2"/>
              </w:numPr>
              <w:spacing w:before="40" w:after="40"/>
              <w:ind w:left="320" w:hanging="283"/>
              <w:contextualSpacing w:val="0"/>
              <w:rPr>
                <w:b w:val="0"/>
              </w:rPr>
            </w:pPr>
            <w:r w:rsidRPr="00B441D2">
              <w:rPr>
                <w:b w:val="0"/>
              </w:rPr>
              <w:t>Improved good-quality, fit-for-purpose walking and cycling infrastructure</w:t>
            </w:r>
          </w:p>
        </w:tc>
      </w:tr>
      <w:tr w:rsidR="00340745" w:rsidRPr="00BA0BD0" w14:paraId="38AC5854" w14:textId="77777777" w:rsidTr="00E73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0FDD5256" w14:textId="77777777" w:rsidR="00340745" w:rsidRPr="00B441D2" w:rsidRDefault="00340745" w:rsidP="00E73878">
            <w:pPr>
              <w:pStyle w:val="ListParagraph"/>
              <w:numPr>
                <w:ilvl w:val="0"/>
                <w:numId w:val="2"/>
              </w:numPr>
              <w:spacing w:before="40" w:after="40"/>
              <w:ind w:left="320" w:hanging="283"/>
              <w:contextualSpacing w:val="0"/>
              <w:rPr>
                <w:b w:val="0"/>
              </w:rPr>
            </w:pPr>
            <w:r w:rsidRPr="00B441D2">
              <w:rPr>
                <w:b w:val="0"/>
              </w:rPr>
              <w:t>Improved real and perceived safety for both pedestrians and cyclists</w:t>
            </w:r>
          </w:p>
        </w:tc>
      </w:tr>
      <w:tr w:rsidR="00340745" w:rsidRPr="00BA0BD0" w14:paraId="1B0E0197" w14:textId="77777777" w:rsidTr="00E73878">
        <w:tc>
          <w:tcPr>
            <w:cnfStyle w:val="001000000000" w:firstRow="0" w:lastRow="0" w:firstColumn="1" w:lastColumn="0" w:oddVBand="0" w:evenVBand="0" w:oddHBand="0" w:evenHBand="0" w:firstRowFirstColumn="0" w:firstRowLastColumn="0" w:lastRowFirstColumn="0" w:lastRowLastColumn="0"/>
            <w:tcW w:w="5000" w:type="pct"/>
            <w:shd w:val="clear" w:color="auto" w:fill="EDF8AA"/>
          </w:tcPr>
          <w:p w14:paraId="46C55300" w14:textId="77777777" w:rsidR="00340745" w:rsidRPr="00B441D2" w:rsidRDefault="00340745" w:rsidP="00E73878">
            <w:pPr>
              <w:pStyle w:val="ListParagraph"/>
              <w:numPr>
                <w:ilvl w:val="0"/>
                <w:numId w:val="2"/>
              </w:numPr>
              <w:spacing w:before="40" w:after="40"/>
              <w:ind w:left="320" w:hanging="283"/>
              <w:contextualSpacing w:val="0"/>
              <w:rPr>
                <w:b w:val="0"/>
              </w:rPr>
            </w:pPr>
            <w:r w:rsidRPr="00B441D2">
              <w:rPr>
                <w:b w:val="0"/>
              </w:rPr>
              <w:t xml:space="preserve">Increased proportion of journeys made using public transport and active modes of travel </w:t>
            </w:r>
          </w:p>
        </w:tc>
      </w:tr>
      <w:tr w:rsidR="00340745" w:rsidRPr="00BA0BD0" w14:paraId="0C9B1398" w14:textId="77777777" w:rsidTr="00E73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035FC87D" w14:textId="77777777" w:rsidR="00340745" w:rsidRPr="00B441D2" w:rsidRDefault="00340745" w:rsidP="00E73878">
            <w:pPr>
              <w:pStyle w:val="ListParagraph"/>
              <w:numPr>
                <w:ilvl w:val="0"/>
                <w:numId w:val="2"/>
              </w:numPr>
              <w:spacing w:before="40" w:after="40"/>
              <w:ind w:left="320" w:hanging="283"/>
              <w:contextualSpacing w:val="0"/>
              <w:rPr>
                <w:b w:val="0"/>
              </w:rPr>
            </w:pPr>
            <w:r w:rsidRPr="00B441D2">
              <w:rPr>
                <w:b w:val="0"/>
              </w:rPr>
              <w:t xml:space="preserve">Public transport is more accessible and affordable, especially for those reliant on it to reach social and economic opportunities </w:t>
            </w:r>
          </w:p>
        </w:tc>
      </w:tr>
      <w:tr w:rsidR="00340745" w:rsidRPr="00BA0BD0" w14:paraId="49C1E8EA" w14:textId="77777777" w:rsidTr="00E73878">
        <w:tc>
          <w:tcPr>
            <w:cnfStyle w:val="001000000000" w:firstRow="0" w:lastRow="0" w:firstColumn="1" w:lastColumn="0" w:oddVBand="0" w:evenVBand="0" w:oddHBand="0" w:evenHBand="0" w:firstRowFirstColumn="0" w:firstRowLastColumn="0" w:lastRowFirstColumn="0" w:lastRowLastColumn="0"/>
            <w:tcW w:w="5000" w:type="pct"/>
            <w:shd w:val="clear" w:color="auto" w:fill="EDF8AA"/>
          </w:tcPr>
          <w:p w14:paraId="344B59D4" w14:textId="77777777" w:rsidR="00340745" w:rsidRPr="00B441D2" w:rsidRDefault="00340745" w:rsidP="00E73878">
            <w:pPr>
              <w:pStyle w:val="ListParagraph"/>
              <w:numPr>
                <w:ilvl w:val="0"/>
                <w:numId w:val="2"/>
              </w:numPr>
              <w:spacing w:before="40" w:after="40"/>
              <w:ind w:left="320" w:hanging="283"/>
              <w:contextualSpacing w:val="0"/>
              <w:rPr>
                <w:b w:val="0"/>
              </w:rPr>
            </w:pPr>
            <w:r w:rsidRPr="00B441D2">
              <w:rPr>
                <w:b w:val="0"/>
              </w:rPr>
              <w:t xml:space="preserve">Specialised services provide better access to transport for people unable to drive themselves or use scheduled public transport </w:t>
            </w:r>
          </w:p>
        </w:tc>
      </w:tr>
      <w:tr w:rsidR="00340745" w:rsidRPr="00BA0BD0" w14:paraId="43624EC9" w14:textId="77777777" w:rsidTr="00E73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2F113D1D" w14:textId="77777777" w:rsidR="00340745" w:rsidRPr="00B441D2" w:rsidRDefault="00340745" w:rsidP="00E73878">
            <w:pPr>
              <w:pStyle w:val="ListParagraph"/>
              <w:numPr>
                <w:ilvl w:val="0"/>
                <w:numId w:val="2"/>
              </w:numPr>
              <w:spacing w:before="40" w:after="40"/>
              <w:ind w:left="320" w:hanging="283"/>
              <w:contextualSpacing w:val="0"/>
              <w:rPr>
                <w:b w:val="0"/>
              </w:rPr>
            </w:pPr>
            <w:r w:rsidRPr="00B441D2">
              <w:rPr>
                <w:b w:val="0"/>
              </w:rPr>
              <w:t xml:space="preserve">Improved resilience on routes where disruptions pose the highest economic and social costs </w:t>
            </w:r>
          </w:p>
        </w:tc>
      </w:tr>
      <w:tr w:rsidR="00340745" w:rsidRPr="00BA0BD0" w14:paraId="09EEAD9F" w14:textId="77777777" w:rsidTr="00E73878">
        <w:tc>
          <w:tcPr>
            <w:cnfStyle w:val="001000000000" w:firstRow="0" w:lastRow="0" w:firstColumn="1" w:lastColumn="0" w:oddVBand="0" w:evenVBand="0" w:oddHBand="0" w:evenHBand="0" w:firstRowFirstColumn="0" w:firstRowLastColumn="0" w:lastRowFirstColumn="0" w:lastRowLastColumn="0"/>
            <w:tcW w:w="5000" w:type="pct"/>
            <w:shd w:val="clear" w:color="auto" w:fill="EDF8AA"/>
          </w:tcPr>
          <w:p w14:paraId="2D755946" w14:textId="77777777" w:rsidR="00340745" w:rsidRPr="00B441D2" w:rsidRDefault="00340745" w:rsidP="00E73878">
            <w:pPr>
              <w:pStyle w:val="ListParagraph"/>
              <w:numPr>
                <w:ilvl w:val="0"/>
                <w:numId w:val="2"/>
              </w:numPr>
              <w:spacing w:before="40" w:after="40"/>
              <w:ind w:left="320" w:hanging="283"/>
              <w:contextualSpacing w:val="0"/>
              <w:rPr>
                <w:b w:val="0"/>
              </w:rPr>
            </w:pPr>
            <w:r w:rsidRPr="00B441D2">
              <w:rPr>
                <w:b w:val="0"/>
              </w:rPr>
              <w:t>When disruption to the network occurs, impacts of disruptions are reduced at the parts of the network that have the most economic and social importance</w:t>
            </w:r>
          </w:p>
        </w:tc>
      </w:tr>
    </w:tbl>
    <w:p w14:paraId="2487626A" w14:textId="77777777" w:rsidR="00340745" w:rsidRDefault="00340745" w:rsidP="00340745">
      <w:pPr>
        <w:rPr>
          <w:b/>
          <w:sz w:val="32"/>
          <w:u w:val="single"/>
        </w:rPr>
      </w:pPr>
    </w:p>
    <w:p w14:paraId="78D73214" w14:textId="1E978D61" w:rsidR="00340745" w:rsidRPr="0057334E" w:rsidRDefault="00340745" w:rsidP="00340745">
      <w:pPr>
        <w:rPr>
          <w:b/>
        </w:rPr>
      </w:pPr>
      <w:r>
        <w:rPr>
          <w:b/>
        </w:rPr>
        <w:t>Environment:</w:t>
      </w:r>
    </w:p>
    <w:tbl>
      <w:tblPr>
        <w:tblStyle w:val="GridTable4-Accent1"/>
        <w:tblW w:w="5000" w:type="pct"/>
        <w:tblLook w:val="04A0" w:firstRow="1" w:lastRow="0" w:firstColumn="1" w:lastColumn="0" w:noHBand="0" w:noVBand="1"/>
      </w:tblPr>
      <w:tblGrid>
        <w:gridCol w:w="10456"/>
      </w:tblGrid>
      <w:tr w:rsidR="00340745" w:rsidRPr="0057334E" w14:paraId="5DEDDAD2" w14:textId="77777777" w:rsidTr="00E738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00A9EF"/>
          </w:tcPr>
          <w:p w14:paraId="72A92498" w14:textId="77777777" w:rsidR="00340745" w:rsidRPr="00B441D2" w:rsidRDefault="00340745" w:rsidP="00E73878">
            <w:pPr>
              <w:rPr>
                <w:b w:val="0"/>
              </w:rPr>
            </w:pPr>
            <w:r w:rsidRPr="00B441D2">
              <w:rPr>
                <w:b w:val="0"/>
                <w:sz w:val="24"/>
              </w:rPr>
              <w:t>Long-term results</w:t>
            </w:r>
          </w:p>
        </w:tc>
      </w:tr>
      <w:tr w:rsidR="00340745" w:rsidRPr="00BA0BD0" w14:paraId="0FF8216B" w14:textId="77777777" w:rsidTr="00E73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08F09105" w14:textId="77777777" w:rsidR="00340745" w:rsidRPr="00B441D2" w:rsidRDefault="00340745" w:rsidP="00E73878">
            <w:pPr>
              <w:pStyle w:val="ListParagraph"/>
              <w:numPr>
                <w:ilvl w:val="0"/>
                <w:numId w:val="2"/>
              </w:numPr>
              <w:spacing w:before="40" w:after="40"/>
              <w:ind w:left="320" w:hanging="283"/>
              <w:contextualSpacing w:val="0"/>
              <w:rPr>
                <w:b w:val="0"/>
              </w:rPr>
            </w:pPr>
            <w:r w:rsidRPr="00B441D2">
              <w:rPr>
                <w:b w:val="0"/>
              </w:rPr>
              <w:t>Reduce greenhouse gas emissions from transport</w:t>
            </w:r>
          </w:p>
        </w:tc>
      </w:tr>
      <w:tr w:rsidR="00340745" w:rsidRPr="00BA0BD0" w14:paraId="14927B20" w14:textId="77777777" w:rsidTr="00E73878">
        <w:tc>
          <w:tcPr>
            <w:cnfStyle w:val="001000000000" w:firstRow="0" w:lastRow="0" w:firstColumn="1" w:lastColumn="0" w:oddVBand="0" w:evenVBand="0" w:oddHBand="0" w:evenHBand="0" w:firstRowFirstColumn="0" w:firstRowLastColumn="0" w:lastRowFirstColumn="0" w:lastRowLastColumn="0"/>
            <w:tcW w:w="5000" w:type="pct"/>
            <w:shd w:val="clear" w:color="auto" w:fill="9FE4FF"/>
          </w:tcPr>
          <w:p w14:paraId="3D26CCFB" w14:textId="77777777" w:rsidR="00340745" w:rsidRPr="00B441D2" w:rsidRDefault="00340745" w:rsidP="00E73878">
            <w:pPr>
              <w:pStyle w:val="ListParagraph"/>
              <w:numPr>
                <w:ilvl w:val="0"/>
                <w:numId w:val="2"/>
              </w:numPr>
              <w:spacing w:before="40" w:after="40"/>
              <w:ind w:left="320" w:hanging="283"/>
              <w:contextualSpacing w:val="0"/>
              <w:rPr>
                <w:b w:val="0"/>
              </w:rPr>
            </w:pPr>
            <w:r w:rsidRPr="00B441D2">
              <w:rPr>
                <w:b w:val="0"/>
              </w:rPr>
              <w:t xml:space="preserve">Reduce transport’s negative effects on the local environment and public health </w:t>
            </w:r>
          </w:p>
        </w:tc>
      </w:tr>
      <w:tr w:rsidR="00340745" w:rsidRPr="00A9587E" w14:paraId="19317777" w14:textId="77777777" w:rsidTr="00E73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00A9EF"/>
          </w:tcPr>
          <w:p w14:paraId="528A281B" w14:textId="77777777" w:rsidR="00340745" w:rsidRPr="00B441D2" w:rsidRDefault="00340745" w:rsidP="00E73878">
            <w:pPr>
              <w:spacing w:before="40" w:after="40"/>
              <w:rPr>
                <w:b w:val="0"/>
                <w:color w:val="FFFFFF" w:themeColor="background1"/>
              </w:rPr>
            </w:pPr>
            <w:r w:rsidRPr="00B441D2">
              <w:rPr>
                <w:b w:val="0"/>
                <w:color w:val="FFFFFF" w:themeColor="background1"/>
                <w:sz w:val="24"/>
              </w:rPr>
              <w:t xml:space="preserve">Short-term results </w:t>
            </w:r>
          </w:p>
        </w:tc>
      </w:tr>
      <w:tr w:rsidR="00340745" w:rsidRPr="00BA0BD0" w14:paraId="167961E4" w14:textId="77777777" w:rsidTr="00E73878">
        <w:tc>
          <w:tcPr>
            <w:cnfStyle w:val="001000000000" w:firstRow="0" w:lastRow="0" w:firstColumn="1" w:lastColumn="0" w:oddVBand="0" w:evenVBand="0" w:oddHBand="0" w:evenHBand="0" w:firstRowFirstColumn="0" w:firstRowLastColumn="0" w:lastRowFirstColumn="0" w:lastRowLastColumn="0"/>
            <w:tcW w:w="5000" w:type="pct"/>
            <w:shd w:val="clear" w:color="auto" w:fill="9FE4FF"/>
          </w:tcPr>
          <w:p w14:paraId="19C0DA0A" w14:textId="77777777" w:rsidR="00340745" w:rsidRPr="00B441D2" w:rsidRDefault="00340745" w:rsidP="00E73878">
            <w:pPr>
              <w:pStyle w:val="ListParagraph"/>
              <w:numPr>
                <w:ilvl w:val="0"/>
                <w:numId w:val="2"/>
              </w:numPr>
              <w:spacing w:before="40" w:after="40"/>
              <w:ind w:left="320" w:hanging="283"/>
              <w:contextualSpacing w:val="0"/>
              <w:rPr>
                <w:b w:val="0"/>
              </w:rPr>
            </w:pPr>
            <w:r w:rsidRPr="00B441D2">
              <w:rPr>
                <w:b w:val="0"/>
              </w:rPr>
              <w:t xml:space="preserve">Reduced greenhouse gas emissions from land transport using whole-of-system approach </w:t>
            </w:r>
          </w:p>
        </w:tc>
      </w:tr>
      <w:tr w:rsidR="00340745" w:rsidRPr="00BA0BD0" w14:paraId="10DAD290" w14:textId="77777777" w:rsidTr="00E73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49AD1A68" w14:textId="77777777" w:rsidR="00340745" w:rsidRPr="00B441D2" w:rsidRDefault="00340745" w:rsidP="00E73878">
            <w:pPr>
              <w:pStyle w:val="ListParagraph"/>
              <w:numPr>
                <w:ilvl w:val="0"/>
                <w:numId w:val="2"/>
              </w:numPr>
              <w:spacing w:before="40" w:after="40"/>
              <w:ind w:left="320" w:hanging="283"/>
              <w:contextualSpacing w:val="0"/>
              <w:rPr>
                <w:b w:val="0"/>
              </w:rPr>
            </w:pPr>
            <w:r w:rsidRPr="00B441D2">
              <w:rPr>
                <w:b w:val="0"/>
              </w:rPr>
              <w:t>Reduced significant harmful effects of land transport-related air pollution</w:t>
            </w:r>
          </w:p>
        </w:tc>
      </w:tr>
      <w:tr w:rsidR="00340745" w:rsidRPr="00BA0BD0" w14:paraId="0599F1B2" w14:textId="77777777" w:rsidTr="00E73878">
        <w:tc>
          <w:tcPr>
            <w:cnfStyle w:val="001000000000" w:firstRow="0" w:lastRow="0" w:firstColumn="1" w:lastColumn="0" w:oddVBand="0" w:evenVBand="0" w:oddHBand="0" w:evenHBand="0" w:firstRowFirstColumn="0" w:firstRowLastColumn="0" w:lastRowFirstColumn="0" w:lastRowLastColumn="0"/>
            <w:tcW w:w="5000" w:type="pct"/>
            <w:shd w:val="clear" w:color="auto" w:fill="9FE4FF"/>
          </w:tcPr>
          <w:p w14:paraId="35CC9C6E" w14:textId="77777777" w:rsidR="00340745" w:rsidRPr="00B441D2" w:rsidRDefault="00340745" w:rsidP="00E73878">
            <w:pPr>
              <w:pStyle w:val="ListParagraph"/>
              <w:numPr>
                <w:ilvl w:val="0"/>
                <w:numId w:val="2"/>
              </w:numPr>
              <w:spacing w:before="40" w:after="40"/>
              <w:ind w:left="320" w:hanging="283"/>
              <w:contextualSpacing w:val="0"/>
              <w:rPr>
                <w:b w:val="0"/>
              </w:rPr>
            </w:pPr>
            <w:r w:rsidRPr="00B441D2">
              <w:rPr>
                <w:b w:val="0"/>
              </w:rPr>
              <w:t xml:space="preserve">Reduced significant negative effects on water quality and biodiversity from construction and ongoing use of transport infrastructure </w:t>
            </w:r>
          </w:p>
        </w:tc>
      </w:tr>
      <w:tr w:rsidR="00340745" w14:paraId="2AE46157" w14:textId="77777777" w:rsidTr="00E73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7DD9E2F2" w14:textId="77777777" w:rsidR="00340745" w:rsidRPr="00B441D2" w:rsidRDefault="00340745" w:rsidP="00E73878">
            <w:pPr>
              <w:pStyle w:val="ListParagraph"/>
              <w:numPr>
                <w:ilvl w:val="0"/>
                <w:numId w:val="2"/>
              </w:numPr>
              <w:spacing w:before="40" w:after="40"/>
              <w:ind w:left="320" w:hanging="283"/>
              <w:contextualSpacing w:val="0"/>
              <w:rPr>
                <w:b w:val="0"/>
              </w:rPr>
            </w:pPr>
            <w:r w:rsidRPr="00B441D2">
              <w:rPr>
                <w:b w:val="0"/>
              </w:rPr>
              <w:t xml:space="preserve">Increased uptake of active travel models such as walking and cycling to support environmental and public health objectives </w:t>
            </w:r>
          </w:p>
        </w:tc>
      </w:tr>
    </w:tbl>
    <w:p w14:paraId="16771129" w14:textId="77777777" w:rsidR="00340745" w:rsidRDefault="00340745" w:rsidP="00340745">
      <w:pPr>
        <w:rPr>
          <w:b/>
        </w:rPr>
      </w:pPr>
    </w:p>
    <w:p w14:paraId="70DA2177" w14:textId="0A90B4AE" w:rsidR="00340745" w:rsidRPr="00876C25" w:rsidRDefault="00340745" w:rsidP="00340745">
      <w:pPr>
        <w:rPr>
          <w:b/>
        </w:rPr>
      </w:pPr>
      <w:r>
        <w:rPr>
          <w:b/>
        </w:rPr>
        <w:t>Value for money:</w:t>
      </w:r>
    </w:p>
    <w:tbl>
      <w:tblPr>
        <w:tblStyle w:val="GridTable4-Accent1"/>
        <w:tblW w:w="5000" w:type="pct"/>
        <w:tblLook w:val="04A0" w:firstRow="1" w:lastRow="0" w:firstColumn="1" w:lastColumn="0" w:noHBand="0" w:noVBand="1"/>
      </w:tblPr>
      <w:tblGrid>
        <w:gridCol w:w="10456"/>
      </w:tblGrid>
      <w:tr w:rsidR="00340745" w:rsidRPr="0057334E" w14:paraId="4D000489" w14:textId="77777777" w:rsidTr="00E738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69E00"/>
          </w:tcPr>
          <w:p w14:paraId="7B42CEAF" w14:textId="77777777" w:rsidR="00340745" w:rsidRPr="00B441D2" w:rsidRDefault="00340745" w:rsidP="00E73878">
            <w:pPr>
              <w:rPr>
                <w:b w:val="0"/>
              </w:rPr>
            </w:pPr>
            <w:r w:rsidRPr="00B441D2">
              <w:rPr>
                <w:b w:val="0"/>
                <w:sz w:val="24"/>
              </w:rPr>
              <w:t>Long-term results</w:t>
            </w:r>
          </w:p>
        </w:tc>
      </w:tr>
      <w:tr w:rsidR="00340745" w:rsidRPr="00BA0BD0" w14:paraId="61C0AF64" w14:textId="77777777" w:rsidTr="00E73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14BAEA71" w14:textId="77777777" w:rsidR="00340745" w:rsidRPr="00B441D2" w:rsidRDefault="00340745" w:rsidP="00E73878">
            <w:pPr>
              <w:pStyle w:val="ListParagraph"/>
              <w:numPr>
                <w:ilvl w:val="0"/>
                <w:numId w:val="2"/>
              </w:numPr>
              <w:spacing w:before="40" w:after="40"/>
              <w:ind w:left="320" w:hanging="283"/>
              <w:contextualSpacing w:val="0"/>
              <w:rPr>
                <w:b w:val="0"/>
              </w:rPr>
            </w:pPr>
            <w:r w:rsidRPr="00B441D2">
              <w:rPr>
                <w:b w:val="0"/>
              </w:rPr>
              <w:t>Better informed investment decision-making</w:t>
            </w:r>
          </w:p>
        </w:tc>
      </w:tr>
      <w:tr w:rsidR="00340745" w:rsidRPr="00BA0BD0" w14:paraId="29286005" w14:textId="77777777" w:rsidTr="00E73878">
        <w:tc>
          <w:tcPr>
            <w:cnfStyle w:val="001000000000" w:firstRow="0" w:lastRow="0" w:firstColumn="1" w:lastColumn="0" w:oddVBand="0" w:evenVBand="0" w:oddHBand="0" w:evenHBand="0" w:firstRowFirstColumn="0" w:firstRowLastColumn="0" w:lastRowFirstColumn="0" w:lastRowLastColumn="0"/>
            <w:tcW w:w="5000" w:type="pct"/>
            <w:shd w:val="clear" w:color="auto" w:fill="FFDD9F"/>
          </w:tcPr>
          <w:p w14:paraId="38156DF7" w14:textId="77777777" w:rsidR="00340745" w:rsidRPr="00B441D2" w:rsidRDefault="00340745" w:rsidP="00E73878">
            <w:pPr>
              <w:pStyle w:val="ListParagraph"/>
              <w:numPr>
                <w:ilvl w:val="0"/>
                <w:numId w:val="2"/>
              </w:numPr>
              <w:spacing w:before="40" w:after="40"/>
              <w:ind w:left="320" w:hanging="283"/>
              <w:contextualSpacing w:val="0"/>
              <w:rPr>
                <w:b w:val="0"/>
              </w:rPr>
            </w:pPr>
            <w:r w:rsidRPr="00B441D2">
              <w:rPr>
                <w:b w:val="0"/>
              </w:rPr>
              <w:t>Improved Returns</w:t>
            </w:r>
          </w:p>
        </w:tc>
      </w:tr>
      <w:tr w:rsidR="00340745" w:rsidRPr="00A9587E" w14:paraId="2E46EE6B" w14:textId="77777777" w:rsidTr="00E73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69E00"/>
          </w:tcPr>
          <w:p w14:paraId="0CF857A4" w14:textId="77777777" w:rsidR="00340745" w:rsidRPr="00B441D2" w:rsidRDefault="00340745" w:rsidP="00E73878">
            <w:pPr>
              <w:spacing w:before="40" w:after="40"/>
              <w:rPr>
                <w:b w:val="0"/>
                <w:color w:val="FFFFFF" w:themeColor="background1"/>
              </w:rPr>
            </w:pPr>
            <w:r w:rsidRPr="00B441D2">
              <w:rPr>
                <w:b w:val="0"/>
                <w:color w:val="FFFFFF" w:themeColor="background1"/>
                <w:sz w:val="24"/>
              </w:rPr>
              <w:t xml:space="preserve">Short-term results </w:t>
            </w:r>
          </w:p>
        </w:tc>
      </w:tr>
      <w:tr w:rsidR="00340745" w:rsidRPr="00BA0BD0" w14:paraId="02349FD4" w14:textId="77777777" w:rsidTr="00E73878">
        <w:tc>
          <w:tcPr>
            <w:cnfStyle w:val="001000000000" w:firstRow="0" w:lastRow="0" w:firstColumn="1" w:lastColumn="0" w:oddVBand="0" w:evenVBand="0" w:oddHBand="0" w:evenHBand="0" w:firstRowFirstColumn="0" w:firstRowLastColumn="0" w:lastRowFirstColumn="0" w:lastRowLastColumn="0"/>
            <w:tcW w:w="5000" w:type="pct"/>
            <w:shd w:val="clear" w:color="auto" w:fill="FFDD9F"/>
          </w:tcPr>
          <w:p w14:paraId="72354F6B" w14:textId="77777777" w:rsidR="00340745" w:rsidRPr="00B441D2" w:rsidRDefault="00340745" w:rsidP="00E73878">
            <w:pPr>
              <w:pStyle w:val="ListParagraph"/>
              <w:numPr>
                <w:ilvl w:val="0"/>
                <w:numId w:val="2"/>
              </w:numPr>
              <w:spacing w:before="40" w:after="40"/>
              <w:ind w:left="320" w:hanging="283"/>
              <w:contextualSpacing w:val="0"/>
              <w:rPr>
                <w:b w:val="0"/>
              </w:rPr>
            </w:pPr>
            <w:r w:rsidRPr="00B441D2">
              <w:rPr>
                <w:b w:val="0"/>
                <w:shd w:val="clear" w:color="auto" w:fill="FFDD9F"/>
              </w:rPr>
              <w:t xml:space="preserve">A more rigorous and transparent investment appraisal system </w:t>
            </w:r>
          </w:p>
        </w:tc>
      </w:tr>
      <w:tr w:rsidR="00340745" w:rsidRPr="00BA0BD0" w14:paraId="4B970DC1" w14:textId="77777777" w:rsidTr="00E73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37E4477B" w14:textId="77777777" w:rsidR="00340745" w:rsidRPr="00B441D2" w:rsidRDefault="00340745" w:rsidP="00E73878">
            <w:pPr>
              <w:pStyle w:val="ListParagraph"/>
              <w:numPr>
                <w:ilvl w:val="0"/>
                <w:numId w:val="2"/>
              </w:numPr>
              <w:spacing w:before="40" w:after="40"/>
              <w:ind w:left="320" w:hanging="283"/>
              <w:contextualSpacing w:val="0"/>
              <w:rPr>
                <w:b w:val="0"/>
              </w:rPr>
            </w:pPr>
            <w:r w:rsidRPr="00B441D2">
              <w:rPr>
                <w:b w:val="0"/>
              </w:rPr>
              <w:t>Enhanced reporting, monitoring and evaluation of GPS 2018 investment</w:t>
            </w:r>
          </w:p>
        </w:tc>
      </w:tr>
      <w:tr w:rsidR="00340745" w:rsidRPr="00BA0BD0" w14:paraId="401B6DCD" w14:textId="77777777" w:rsidTr="00E73878">
        <w:tc>
          <w:tcPr>
            <w:cnfStyle w:val="001000000000" w:firstRow="0" w:lastRow="0" w:firstColumn="1" w:lastColumn="0" w:oddVBand="0" w:evenVBand="0" w:oddHBand="0" w:evenHBand="0" w:firstRowFirstColumn="0" w:firstRowLastColumn="0" w:lastRowFirstColumn="0" w:lastRowLastColumn="0"/>
            <w:tcW w:w="5000" w:type="pct"/>
            <w:shd w:val="clear" w:color="auto" w:fill="FFDD9F"/>
          </w:tcPr>
          <w:p w14:paraId="7CF78E4F" w14:textId="77777777" w:rsidR="00340745" w:rsidRPr="00B441D2" w:rsidRDefault="00340745" w:rsidP="00E73878">
            <w:pPr>
              <w:pStyle w:val="ListParagraph"/>
              <w:numPr>
                <w:ilvl w:val="0"/>
                <w:numId w:val="2"/>
              </w:numPr>
              <w:spacing w:before="40" w:after="40"/>
              <w:ind w:left="320" w:hanging="283"/>
              <w:contextualSpacing w:val="0"/>
              <w:rPr>
                <w:b w:val="0"/>
              </w:rPr>
            </w:pPr>
            <w:r w:rsidRPr="00B441D2">
              <w:rPr>
                <w:b w:val="0"/>
              </w:rPr>
              <w:t>Better integrated transport research across government</w:t>
            </w:r>
          </w:p>
        </w:tc>
      </w:tr>
      <w:tr w:rsidR="00340745" w14:paraId="596C6FCD" w14:textId="77777777" w:rsidTr="00E73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77502A1C" w14:textId="77777777" w:rsidR="00340745" w:rsidRPr="00B441D2" w:rsidRDefault="00340745" w:rsidP="00E73878">
            <w:pPr>
              <w:pStyle w:val="ListParagraph"/>
              <w:numPr>
                <w:ilvl w:val="0"/>
                <w:numId w:val="2"/>
              </w:numPr>
              <w:spacing w:before="40" w:after="40"/>
              <w:ind w:left="320" w:hanging="283"/>
              <w:contextualSpacing w:val="0"/>
              <w:rPr>
                <w:b w:val="0"/>
              </w:rPr>
            </w:pPr>
            <w:r w:rsidRPr="00B441D2">
              <w:rPr>
                <w:b w:val="0"/>
              </w:rPr>
              <w:t xml:space="preserve">More effective and efficient investment from innovation in systems, standards, procurement and technology </w:t>
            </w:r>
          </w:p>
        </w:tc>
      </w:tr>
    </w:tbl>
    <w:p w14:paraId="300A0096" w14:textId="77777777" w:rsidR="00340745" w:rsidRPr="00266C08" w:rsidRDefault="00340745" w:rsidP="00340745">
      <w:pPr>
        <w:rPr>
          <w:b/>
          <w:sz w:val="32"/>
          <w:u w:val="single"/>
        </w:rPr>
      </w:pPr>
    </w:p>
    <w:p w14:paraId="0AC550AA" w14:textId="77777777" w:rsidR="00232D31" w:rsidRPr="00266C08" w:rsidRDefault="00232D31" w:rsidP="005D66F0">
      <w:pPr>
        <w:rPr>
          <w:b/>
          <w:sz w:val="32"/>
          <w:u w:val="single"/>
        </w:rPr>
      </w:pPr>
    </w:p>
    <w:sectPr w:rsidR="00232D31" w:rsidRPr="00266C08" w:rsidSect="00A9587E">
      <w:headerReference w:type="default" r:id="rId6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9283A" w14:textId="77777777" w:rsidR="00DE2AD5" w:rsidRDefault="00DE2AD5" w:rsidP="00DF571E">
      <w:pPr>
        <w:spacing w:after="0" w:line="240" w:lineRule="auto"/>
      </w:pPr>
      <w:r>
        <w:separator/>
      </w:r>
    </w:p>
  </w:endnote>
  <w:endnote w:type="continuationSeparator" w:id="0">
    <w:p w14:paraId="6B5B964E" w14:textId="77777777" w:rsidR="00DE2AD5" w:rsidRDefault="00DE2AD5" w:rsidP="00DF5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grotesque SemiBold">
    <w:altName w:val="Segoe UI Semibold"/>
    <w:panose1 w:val="00000000000000000000"/>
    <w:charset w:val="00"/>
    <w:family w:val="swiss"/>
    <w:notTrueType/>
    <w:pitch w:val="variable"/>
    <w:sig w:usb0="A00000AF" w:usb1="4000204A" w:usb2="00000000" w:usb3="00000000" w:csb0="00000093" w:csb1="00000000"/>
  </w:font>
  <w:font w:name="Geogrotesque Regular">
    <w:altName w:val="Bahnschrift Light"/>
    <w:panose1 w:val="00000000000000000000"/>
    <w:charset w:val="00"/>
    <w:family w:val="swiss"/>
    <w:notTrueType/>
    <w:pitch w:val="default"/>
    <w:sig w:usb0="00000003" w:usb1="00000000" w:usb2="00000000" w:usb3="00000000" w:csb0="00000001" w:csb1="00000000"/>
  </w:font>
  <w:font w:name="Geogrotesque UltraLight">
    <w:altName w:val="Corbel Light"/>
    <w:panose1 w:val="00000000000000000000"/>
    <w:charset w:val="00"/>
    <w:family w:val="swiss"/>
    <w:notTrueType/>
    <w:pitch w:val="variable"/>
    <w:sig w:usb0="A00000AF" w:usb1="4000204A" w:usb2="00000000" w:usb3="00000000" w:csb0="00000093"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FEDF3" w14:textId="77777777" w:rsidR="00DE2AD5" w:rsidRDefault="00DE2AD5" w:rsidP="00DF571E">
      <w:pPr>
        <w:spacing w:after="0" w:line="240" w:lineRule="auto"/>
      </w:pPr>
      <w:r>
        <w:separator/>
      </w:r>
    </w:p>
  </w:footnote>
  <w:footnote w:type="continuationSeparator" w:id="0">
    <w:p w14:paraId="2513BF81" w14:textId="77777777" w:rsidR="00DE2AD5" w:rsidRDefault="00DE2AD5" w:rsidP="00DF571E">
      <w:pPr>
        <w:spacing w:after="0" w:line="240" w:lineRule="auto"/>
      </w:pPr>
      <w:r>
        <w:continuationSeparator/>
      </w:r>
    </w:p>
  </w:footnote>
  <w:footnote w:id="1">
    <w:p w14:paraId="113D401E" w14:textId="77777777" w:rsidR="00BC0FB3" w:rsidRPr="00780F89" w:rsidRDefault="00BC0FB3" w:rsidP="00D7272D">
      <w:pPr>
        <w:pStyle w:val="FootnoteText"/>
        <w:rPr>
          <w:sz w:val="18"/>
        </w:rPr>
      </w:pPr>
      <w:r w:rsidRPr="00780F89">
        <w:rPr>
          <w:rStyle w:val="FootnoteReference"/>
          <w:sz w:val="18"/>
        </w:rPr>
        <w:footnoteRef/>
      </w:r>
      <w:r w:rsidRPr="00780F89">
        <w:rPr>
          <w:sz w:val="18"/>
        </w:rPr>
        <w:t xml:space="preserve"> Ministry of Transport (2021). Road deaths and injuries: Times series of casualty and crash categories. Wellington: Ministry of Transport. Retrieved from: </w:t>
      </w:r>
      <w:hyperlink r:id="rId1" w:anchor="element-926" w:history="1">
        <w:r w:rsidRPr="00780F89">
          <w:rPr>
            <w:rStyle w:val="Hyperlink"/>
            <w:sz w:val="18"/>
          </w:rPr>
          <w:t>https://www.transport.govt.nz/statistics-and-insights/safety-annual-statistics/sheet/road-deaths-and-injuries#element-926</w:t>
        </w:r>
      </w:hyperlink>
    </w:p>
    <w:p w14:paraId="75D176DE" w14:textId="77777777" w:rsidR="00BC0FB3" w:rsidRPr="00780F89" w:rsidRDefault="00BC0FB3" w:rsidP="00D7272D">
      <w:pPr>
        <w:pStyle w:val="FootnoteText"/>
        <w:spacing w:line="100" w:lineRule="atLeast"/>
        <w:contextualSpacing/>
        <w:rPr>
          <w:sz w:val="18"/>
        </w:rPr>
      </w:pPr>
    </w:p>
  </w:footnote>
  <w:footnote w:id="2">
    <w:p w14:paraId="7FCA16C9" w14:textId="77777777" w:rsidR="00BC0FB3" w:rsidRDefault="00BC0FB3" w:rsidP="00D7272D">
      <w:pPr>
        <w:pStyle w:val="FootnoteText"/>
      </w:pPr>
      <w:r>
        <w:rPr>
          <w:rStyle w:val="FootnoteReference"/>
        </w:rPr>
        <w:footnoteRef/>
      </w:r>
      <w:r>
        <w:t xml:space="preserve"> </w:t>
      </w:r>
      <w:r w:rsidRPr="00E349B3">
        <w:rPr>
          <w:sz w:val="18"/>
        </w:rPr>
        <w:t>IPRU. (2012). Factsheet 42 – Causes of injury by age. Injury Prevention Research Unit. University of Otago. Retrieved from</w:t>
      </w:r>
      <w:r>
        <w:rPr>
          <w:sz w:val="18"/>
        </w:rPr>
        <w:t>:</w:t>
      </w:r>
      <w:r w:rsidRPr="00E349B3">
        <w:rPr>
          <w:sz w:val="18"/>
        </w:rPr>
        <w:t xml:space="preserve"> https://psm-dm.otago</w:t>
      </w:r>
      <w:r>
        <w:rPr>
          <w:sz w:val="18"/>
        </w:rPr>
        <w:t>.</w:t>
      </w:r>
      <w:r w:rsidRPr="00E349B3">
        <w:rPr>
          <w:sz w:val="18"/>
        </w:rPr>
        <w:t>ac.nz/ipru/FactSheets/FactSheet42.pdf</w:t>
      </w:r>
    </w:p>
    <w:p w14:paraId="06D90BD8" w14:textId="77777777" w:rsidR="00BC0FB3" w:rsidRDefault="00BC0FB3" w:rsidP="00D7272D">
      <w:pPr>
        <w:pStyle w:val="FootnoteText"/>
      </w:pPr>
    </w:p>
  </w:footnote>
  <w:footnote w:id="3">
    <w:p w14:paraId="4FA80375" w14:textId="77777777" w:rsidR="00BC0FB3" w:rsidRPr="00780F89" w:rsidRDefault="00BC0FB3" w:rsidP="00D7272D">
      <w:pPr>
        <w:pStyle w:val="FootnoteText"/>
        <w:rPr>
          <w:sz w:val="18"/>
        </w:rPr>
      </w:pPr>
      <w:r w:rsidRPr="00780F89">
        <w:rPr>
          <w:rStyle w:val="FootnoteReference"/>
          <w:sz w:val="18"/>
        </w:rPr>
        <w:footnoteRef/>
      </w:r>
      <w:r w:rsidRPr="00780F89">
        <w:rPr>
          <w:sz w:val="18"/>
        </w:rPr>
        <w:t xml:space="preserve"> Major Trauma National Clinical Network (2018). Annual Report 2017-2018. Wellington: Major Trauma National Clinical Network. Retrieved from: </w:t>
      </w:r>
      <w:hyperlink r:id="rId2" w:history="1">
        <w:r w:rsidRPr="00780F89">
          <w:rPr>
            <w:rStyle w:val="Hyperlink"/>
            <w:sz w:val="18"/>
          </w:rPr>
          <w:t>https://www.majortrauma.nz/assets/Publication-Resources/Annual-reports/Annual-Report-2017-18.pdf</w:t>
        </w:r>
      </w:hyperlink>
      <w:r w:rsidRPr="00780F89">
        <w:rPr>
          <w:sz w:val="18"/>
        </w:rPr>
        <w:t xml:space="preserve"> </w:t>
      </w:r>
    </w:p>
    <w:p w14:paraId="7B997CDC" w14:textId="77777777" w:rsidR="00BC0FB3" w:rsidRPr="00780F89" w:rsidRDefault="00BC0FB3" w:rsidP="00D7272D">
      <w:pPr>
        <w:pStyle w:val="FootnoteText"/>
        <w:rPr>
          <w:sz w:val="18"/>
        </w:rPr>
      </w:pPr>
    </w:p>
  </w:footnote>
  <w:footnote w:id="4">
    <w:p w14:paraId="4A581090" w14:textId="77777777" w:rsidR="00BC0FB3" w:rsidRPr="00780F89" w:rsidRDefault="00BC0FB3" w:rsidP="00D7272D">
      <w:pPr>
        <w:pStyle w:val="FootnoteText"/>
        <w:rPr>
          <w:sz w:val="18"/>
        </w:rPr>
      </w:pPr>
      <w:r w:rsidRPr="00780F89">
        <w:rPr>
          <w:rStyle w:val="FootnoteReference"/>
          <w:sz w:val="18"/>
        </w:rPr>
        <w:footnoteRef/>
      </w:r>
      <w:r w:rsidRPr="00780F89">
        <w:rPr>
          <w:sz w:val="18"/>
        </w:rPr>
        <w:t xml:space="preserve"> Ministry of Transport (2020). Social cost of road crashes and injuries - June 2019 update. Wellington: Ministry of Transport. Retrieved from: </w:t>
      </w:r>
      <w:hyperlink r:id="rId3" w:history="1">
        <w:r w:rsidRPr="00780F89">
          <w:rPr>
            <w:rStyle w:val="Hyperlink"/>
            <w:sz w:val="18"/>
          </w:rPr>
          <w:t>https://www.transport.govt.nz//assets/Uploads/Report/SocialCostof-RoadCrashesandInjuries2019.pdf</w:t>
        </w:r>
      </w:hyperlink>
    </w:p>
    <w:p w14:paraId="2F803BE8" w14:textId="77777777" w:rsidR="00BC0FB3" w:rsidRPr="00780F89" w:rsidRDefault="00BC0FB3" w:rsidP="00D7272D">
      <w:pPr>
        <w:pStyle w:val="FootnoteText"/>
        <w:rPr>
          <w:sz w:val="18"/>
        </w:rPr>
      </w:pPr>
    </w:p>
  </w:footnote>
  <w:footnote w:id="5">
    <w:p w14:paraId="6586F3B8" w14:textId="77777777" w:rsidR="00BC0FB3" w:rsidRDefault="00BC0FB3" w:rsidP="00D7272D">
      <w:pPr>
        <w:pStyle w:val="FootnoteText"/>
      </w:pPr>
      <w:r w:rsidRPr="00780F89">
        <w:rPr>
          <w:rStyle w:val="FootnoteReference"/>
          <w:sz w:val="18"/>
        </w:rPr>
        <w:footnoteRef/>
      </w:r>
      <w:r w:rsidRPr="00780F89">
        <w:rPr>
          <w:sz w:val="18"/>
        </w:rPr>
        <w:t xml:space="preserve"> International Transport Forum (2020). Road safety annual report 2020. Paris: ITF OECD. Retrieved from: </w:t>
      </w:r>
      <w:hyperlink r:id="rId4" w:history="1">
        <w:r w:rsidRPr="0013776C">
          <w:rPr>
            <w:rStyle w:val="Hyperlink"/>
            <w:sz w:val="18"/>
          </w:rPr>
          <w:t>https://www.itf-oecd.org/sites/default/files/docs/irtad-road-safety-annual-report-2020_0.pdf</w:t>
        </w:r>
      </w:hyperlink>
      <w:r>
        <w:rPr>
          <w:sz w:val="18"/>
        </w:rPr>
        <w:t xml:space="preserve"> </w:t>
      </w:r>
    </w:p>
  </w:footnote>
  <w:footnote w:id="6">
    <w:p w14:paraId="734F9FDE" w14:textId="77777777" w:rsidR="00BC0FB3" w:rsidRDefault="00BC0FB3" w:rsidP="00D11F3B">
      <w:pPr>
        <w:pStyle w:val="FootnoteText"/>
      </w:pPr>
      <w:r>
        <w:rPr>
          <w:rStyle w:val="FootnoteReference"/>
        </w:rPr>
        <w:footnoteRef/>
      </w:r>
      <w:r>
        <w:t xml:space="preserve"> See the Household Travel Survey </w:t>
      </w:r>
      <w:hyperlink r:id="rId5" w:history="1">
        <w:r w:rsidRPr="00FF7E6B">
          <w:rPr>
            <w:rStyle w:val="Hyperlink"/>
          </w:rPr>
          <w:t>glossary</w:t>
        </w:r>
      </w:hyperlink>
      <w:r>
        <w:t xml:space="preserve"> for a definition of trip legs and other terms. </w:t>
      </w:r>
    </w:p>
  </w:footnote>
  <w:footnote w:id="7">
    <w:p w14:paraId="5BDDA68C" w14:textId="07AD0384" w:rsidR="00BC0FB3" w:rsidRDefault="00BC0FB3">
      <w:pPr>
        <w:pStyle w:val="FootnoteText"/>
      </w:pPr>
      <w:r>
        <w:rPr>
          <w:rStyle w:val="FootnoteReference"/>
        </w:rPr>
        <w:footnoteRef/>
      </w:r>
      <w:r>
        <w:t xml:space="preserve"> </w:t>
      </w:r>
      <w:r w:rsidRPr="00A26667">
        <w:rPr>
          <w:rFonts w:asciiTheme="minorHAnsi" w:hAnsiTheme="minorHAnsi" w:cstheme="minorHAnsi"/>
          <w:sz w:val="16"/>
        </w:rPr>
        <w:t>For walking this is defined as 45 minutes, for cycling this is defined as 45 minutes door-to-door cycle time for a confident cyclist who is willing to cycle on the road, for public transport this is defined as 45 minutes and includes walking to/from the stop and both transfers and transit time, for driving this is defined as a 45-minute drive time including approximately 15 minutes to find a carpark and get to/from parked car to final destination.</w:t>
      </w:r>
    </w:p>
  </w:footnote>
  <w:footnote w:id="8">
    <w:p w14:paraId="66FC0EAD" w14:textId="77777777" w:rsidR="00BC0FB3" w:rsidRPr="00644568" w:rsidRDefault="00BC0FB3" w:rsidP="00BE0B38">
      <w:pPr>
        <w:pStyle w:val="FootnoteText"/>
        <w:rPr>
          <w:sz w:val="18"/>
        </w:rPr>
      </w:pPr>
      <w:r w:rsidRPr="00644568">
        <w:rPr>
          <w:rStyle w:val="FootnoteReference"/>
          <w:sz w:val="18"/>
        </w:rPr>
        <w:footnoteRef/>
      </w:r>
      <w:r w:rsidRPr="00644568">
        <w:rPr>
          <w:sz w:val="18"/>
        </w:rPr>
        <w:t xml:space="preserve"> More detail about how Waka Kotahi prioritises proposals is available at </w:t>
      </w:r>
      <w:hyperlink r:id="rId6" w:history="1">
        <w:r w:rsidRPr="00644568">
          <w:rPr>
            <w:rStyle w:val="Hyperlink"/>
            <w:sz w:val="18"/>
          </w:rPr>
          <w:t>https://www.nzta.govt.nz/planning-and-investment/planning-and-investment-knowledge-base/2018-21-nltp-investment-assessment-framework-iaf/prioritisation-of-activities/</w:t>
        </w:r>
      </w:hyperlink>
    </w:p>
  </w:footnote>
  <w:footnote w:id="9">
    <w:p w14:paraId="710F32DD" w14:textId="3DB06F89" w:rsidR="00BC0FB3" w:rsidRPr="00644568" w:rsidRDefault="00BC0FB3" w:rsidP="003B42C9">
      <w:pPr>
        <w:pStyle w:val="FootnoteText"/>
        <w:rPr>
          <w:b/>
        </w:rPr>
      </w:pPr>
      <w:r w:rsidRPr="00644568">
        <w:rPr>
          <w:rStyle w:val="FootnoteReference"/>
          <w:b/>
          <w:sz w:val="18"/>
        </w:rPr>
        <w:footnoteRef/>
      </w:r>
      <w:r w:rsidRPr="00644568">
        <w:rPr>
          <w:b/>
          <w:sz w:val="18"/>
        </w:rPr>
        <w:t xml:space="preserve"> </w:t>
      </w:r>
      <w:r w:rsidRPr="00644568">
        <w:rPr>
          <w:rStyle w:val="Strong"/>
          <w:b w:val="0"/>
          <w:sz w:val="18"/>
        </w:rPr>
        <w:t xml:space="preserve">The State </w:t>
      </w:r>
      <w:r>
        <w:rPr>
          <w:rStyle w:val="Strong"/>
          <w:b w:val="0"/>
          <w:sz w:val="18"/>
        </w:rPr>
        <w:t>h</w:t>
      </w:r>
      <w:r w:rsidRPr="00644568">
        <w:rPr>
          <w:rStyle w:val="Strong"/>
          <w:b w:val="0"/>
          <w:sz w:val="18"/>
        </w:rPr>
        <w:t xml:space="preserve">ighway maintenance </w:t>
      </w:r>
      <w:r>
        <w:rPr>
          <w:rStyle w:val="Strong"/>
          <w:b w:val="0"/>
          <w:sz w:val="18"/>
        </w:rPr>
        <w:t xml:space="preserve">and Local road maintenance </w:t>
      </w:r>
      <w:r w:rsidRPr="00644568">
        <w:rPr>
          <w:rStyle w:val="Strong"/>
          <w:b w:val="0"/>
          <w:sz w:val="18"/>
        </w:rPr>
        <w:t>activity class</w:t>
      </w:r>
      <w:r>
        <w:rPr>
          <w:rStyle w:val="Strong"/>
          <w:b w:val="0"/>
          <w:sz w:val="18"/>
        </w:rPr>
        <w:t>es</w:t>
      </w:r>
      <w:r w:rsidRPr="00644568">
        <w:rPr>
          <w:rStyle w:val="Strong"/>
          <w:b w:val="0"/>
          <w:sz w:val="18"/>
        </w:rPr>
        <w:t xml:space="preserve"> </w:t>
      </w:r>
      <w:r>
        <w:rPr>
          <w:rStyle w:val="Strong"/>
          <w:b w:val="0"/>
          <w:sz w:val="18"/>
        </w:rPr>
        <w:t xml:space="preserve">are </w:t>
      </w:r>
      <w:r w:rsidRPr="00644568">
        <w:rPr>
          <w:rStyle w:val="Strong"/>
          <w:b w:val="0"/>
          <w:sz w:val="18"/>
        </w:rPr>
        <w:t xml:space="preserve">not included here because </w:t>
      </w:r>
      <w:r>
        <w:rPr>
          <w:rStyle w:val="Strong"/>
          <w:b w:val="0"/>
          <w:sz w:val="18"/>
        </w:rPr>
        <w:t xml:space="preserve">they </w:t>
      </w:r>
      <w:r w:rsidRPr="00644568">
        <w:rPr>
          <w:rStyle w:val="Strong"/>
          <w:b w:val="0"/>
          <w:sz w:val="18"/>
        </w:rPr>
        <w:t xml:space="preserve">follow a different </w:t>
      </w:r>
      <w:r>
        <w:rPr>
          <w:rStyle w:val="Strong"/>
          <w:b w:val="0"/>
          <w:sz w:val="18"/>
        </w:rPr>
        <w:t xml:space="preserve">approval </w:t>
      </w:r>
      <w:r w:rsidRPr="00644568">
        <w:rPr>
          <w:rStyle w:val="Strong"/>
          <w:b w:val="0"/>
          <w:sz w:val="18"/>
        </w:rPr>
        <w:t>process</w:t>
      </w:r>
      <w:r>
        <w:rPr>
          <w:rStyle w:val="Strong"/>
          <w:b w:val="0"/>
          <w:sz w:val="18"/>
        </w:rPr>
        <w:t xml:space="preserve">. The three-year programme is approved </w:t>
      </w:r>
      <w:r w:rsidRPr="00644568">
        <w:rPr>
          <w:rStyle w:val="Strong"/>
          <w:b w:val="0"/>
          <w:sz w:val="18"/>
        </w:rPr>
        <w:t>by the Waka Kotahi Board</w:t>
      </w:r>
      <w:r>
        <w:rPr>
          <w:rStyle w:val="Strong"/>
          <w:b w:val="0"/>
          <w:sz w:val="18"/>
        </w:rPr>
        <w:t xml:space="preserve"> at the start of the NLTP period</w:t>
      </w:r>
      <w:r w:rsidRPr="00644568">
        <w:rPr>
          <w:rStyle w:val="Strong"/>
          <w:b w:val="0"/>
          <w:sz w:val="18"/>
        </w:rPr>
        <w:t xml:space="preserve">. </w:t>
      </w:r>
      <w:r>
        <w:rPr>
          <w:rStyle w:val="Strong"/>
          <w:b w:val="0"/>
          <w:sz w:val="18"/>
        </w:rPr>
        <w:t>E</w:t>
      </w:r>
      <w:r w:rsidRPr="00644568">
        <w:rPr>
          <w:rStyle w:val="Strong"/>
          <w:b w:val="0"/>
          <w:sz w:val="18"/>
        </w:rPr>
        <w:t>mergency works are funded as and when they arise, initially to re-open the road/rail/service and secondly to re-instate the pre-existing level of service. In re-instating or improving the level of service, the project may have to go through the prioritisation process. All of this is treated on a case by case basis.</w:t>
      </w:r>
      <w:r>
        <w:rPr>
          <w:rStyle w:val="Strong"/>
          <w:b w:val="0"/>
          <w:sz w:val="18"/>
        </w:rPr>
        <w:t xml:space="preserve"> The Road policing activity class is also not included because it is generally funded as continuous programmes at the beginning of the NLTP period (similar to the maintenance activity classes).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8041821"/>
      <w:docPartObj>
        <w:docPartGallery w:val="Page Numbers (Top of Page)"/>
        <w:docPartUnique/>
      </w:docPartObj>
    </w:sdtPr>
    <w:sdtEndPr>
      <w:rPr>
        <w:noProof/>
      </w:rPr>
    </w:sdtEndPr>
    <w:sdtContent>
      <w:p w14:paraId="26EE7901" w14:textId="2C6017EF" w:rsidR="00BC0FB3" w:rsidRDefault="00BC0FB3">
        <w:pPr>
          <w:pStyle w:val="Header"/>
          <w:jc w:val="right"/>
        </w:pPr>
        <w:r>
          <w:fldChar w:fldCharType="begin"/>
        </w:r>
        <w:r>
          <w:instrText xml:space="preserve"> PAGE   \* MERGEFORMAT </w:instrText>
        </w:r>
        <w:r>
          <w:fldChar w:fldCharType="separate"/>
        </w:r>
        <w:r w:rsidR="00DE2AD5">
          <w:rPr>
            <w:noProof/>
          </w:rPr>
          <w:t>1</w:t>
        </w:r>
        <w:r>
          <w:rPr>
            <w:noProof/>
          </w:rPr>
          <w:fldChar w:fldCharType="end"/>
        </w:r>
      </w:p>
    </w:sdtContent>
  </w:sdt>
  <w:p w14:paraId="25A4F474" w14:textId="77777777" w:rsidR="00BC0FB3" w:rsidRDefault="00BC0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A29C8"/>
    <w:multiLevelType w:val="hybridMultilevel"/>
    <w:tmpl w:val="8AB814B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9373C79"/>
    <w:multiLevelType w:val="hybridMultilevel"/>
    <w:tmpl w:val="F5AED09E"/>
    <w:lvl w:ilvl="0" w:tplc="F2344652">
      <w:numFmt w:val="bullet"/>
      <w:lvlText w:val="-"/>
      <w:lvlJc w:val="left"/>
      <w:pPr>
        <w:ind w:left="720" w:hanging="360"/>
      </w:pPr>
      <w:rPr>
        <w:rFonts w:ascii="Calibri" w:eastAsiaTheme="minorHAnsi" w:hAnsi="Calibri" w:cstheme="minorHAnsi" w:hint="default"/>
      </w:rPr>
    </w:lvl>
    <w:lvl w:ilvl="1" w:tplc="A7B2CF04">
      <w:numFmt w:val="bullet"/>
      <w:lvlText w:val="-"/>
      <w:lvlJc w:val="left"/>
      <w:pPr>
        <w:ind w:left="1440" w:hanging="360"/>
      </w:pPr>
      <w:rPr>
        <w:rFonts w:ascii="Calibri" w:eastAsiaTheme="minorHAnsi" w:hAnsi="Calibri"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3C6E1D"/>
    <w:multiLevelType w:val="hybridMultilevel"/>
    <w:tmpl w:val="1F0C61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6A3DC8"/>
    <w:multiLevelType w:val="hybridMultilevel"/>
    <w:tmpl w:val="9BC6A36A"/>
    <w:lvl w:ilvl="0" w:tplc="B434E5AC">
      <w:start w:val="1"/>
      <w:numFmt w:val="bullet"/>
      <w:lvlText w:val=""/>
      <w:lvlJc w:val="left"/>
      <w:pPr>
        <w:ind w:left="720" w:hanging="360"/>
      </w:pPr>
      <w:rPr>
        <w:rFonts w:ascii="Symbol" w:hAnsi="Symbol" w:hint="default"/>
        <w:color w:val="000000" w:themeColor="text1"/>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FDE3AF5"/>
    <w:multiLevelType w:val="hybridMultilevel"/>
    <w:tmpl w:val="15E2F32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B2E3B8D"/>
    <w:multiLevelType w:val="hybridMultilevel"/>
    <w:tmpl w:val="A26C9B0C"/>
    <w:lvl w:ilvl="0" w:tplc="9FFAC7EC">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F366C57"/>
    <w:multiLevelType w:val="hybridMultilevel"/>
    <w:tmpl w:val="776289B8"/>
    <w:lvl w:ilvl="0" w:tplc="2E68BB6A">
      <w:numFmt w:val="bullet"/>
      <w:lvlText w:val=""/>
      <w:lvlJc w:val="left"/>
      <w:pPr>
        <w:ind w:left="420" w:hanging="360"/>
      </w:pPr>
      <w:rPr>
        <w:rFonts w:ascii="Symbol" w:eastAsiaTheme="minorHAnsi" w:hAnsi="Symbol" w:cs="Arial"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7" w15:restartNumberingAfterBreak="0">
    <w:nsid w:val="3E8F4501"/>
    <w:multiLevelType w:val="hybridMultilevel"/>
    <w:tmpl w:val="05BAEA56"/>
    <w:lvl w:ilvl="0" w:tplc="F2344652">
      <w:numFmt w:val="bullet"/>
      <w:lvlText w:val="-"/>
      <w:lvlJc w:val="left"/>
      <w:pPr>
        <w:ind w:left="720" w:hanging="360"/>
      </w:pPr>
      <w:rPr>
        <w:rFonts w:ascii="Calibri" w:eastAsiaTheme="minorHAnsi" w:hAnsi="Calibri" w:cstheme="minorHAns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86B6EAF"/>
    <w:multiLevelType w:val="hybridMultilevel"/>
    <w:tmpl w:val="233E7D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95C1794"/>
    <w:multiLevelType w:val="hybridMultilevel"/>
    <w:tmpl w:val="6F9896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A5B456E"/>
    <w:multiLevelType w:val="hybridMultilevel"/>
    <w:tmpl w:val="B99A01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B082FF3"/>
    <w:multiLevelType w:val="hybridMultilevel"/>
    <w:tmpl w:val="51F81B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E3B62ED"/>
    <w:multiLevelType w:val="hybridMultilevel"/>
    <w:tmpl w:val="FFF04D80"/>
    <w:lvl w:ilvl="0" w:tplc="14090019">
      <w:start w:val="1"/>
      <w:numFmt w:val="lowerLetter"/>
      <w:lvlText w:val="%1."/>
      <w:lvlJc w:val="left"/>
      <w:pPr>
        <w:ind w:left="502" w:hanging="360"/>
      </w:pPr>
      <w:rPr>
        <w:rFonts w:hint="default"/>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13" w15:restartNumberingAfterBreak="0">
    <w:nsid w:val="5A647561"/>
    <w:multiLevelType w:val="hybridMultilevel"/>
    <w:tmpl w:val="B11291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48D5342"/>
    <w:multiLevelType w:val="hybridMultilevel"/>
    <w:tmpl w:val="867A87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78479F3"/>
    <w:multiLevelType w:val="hybridMultilevel"/>
    <w:tmpl w:val="34283C36"/>
    <w:lvl w:ilvl="0" w:tplc="1E6ECAF8">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6DD30CFD"/>
    <w:multiLevelType w:val="hybridMultilevel"/>
    <w:tmpl w:val="8FCC2A5A"/>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31B1D9A"/>
    <w:multiLevelType w:val="hybridMultilevel"/>
    <w:tmpl w:val="BCBE7970"/>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B2A48E6"/>
    <w:multiLevelType w:val="hybridMultilevel"/>
    <w:tmpl w:val="A70E4F70"/>
    <w:lvl w:ilvl="0" w:tplc="F29AB7E8">
      <w:start w:val="1"/>
      <w:numFmt w:val="bullet"/>
      <w:lvlText w:val="•"/>
      <w:lvlJc w:val="left"/>
      <w:pPr>
        <w:tabs>
          <w:tab w:val="num" w:pos="720"/>
        </w:tabs>
        <w:ind w:left="720" w:hanging="360"/>
      </w:pPr>
      <w:rPr>
        <w:rFonts w:ascii="Arial" w:hAnsi="Arial" w:hint="default"/>
      </w:rPr>
    </w:lvl>
    <w:lvl w:ilvl="1" w:tplc="EB7A28C8" w:tentative="1">
      <w:start w:val="1"/>
      <w:numFmt w:val="bullet"/>
      <w:lvlText w:val="•"/>
      <w:lvlJc w:val="left"/>
      <w:pPr>
        <w:tabs>
          <w:tab w:val="num" w:pos="1440"/>
        </w:tabs>
        <w:ind w:left="1440" w:hanging="360"/>
      </w:pPr>
      <w:rPr>
        <w:rFonts w:ascii="Arial" w:hAnsi="Arial" w:hint="default"/>
      </w:rPr>
    </w:lvl>
    <w:lvl w:ilvl="2" w:tplc="CBA63A7C" w:tentative="1">
      <w:start w:val="1"/>
      <w:numFmt w:val="bullet"/>
      <w:lvlText w:val="•"/>
      <w:lvlJc w:val="left"/>
      <w:pPr>
        <w:tabs>
          <w:tab w:val="num" w:pos="2160"/>
        </w:tabs>
        <w:ind w:left="2160" w:hanging="360"/>
      </w:pPr>
      <w:rPr>
        <w:rFonts w:ascii="Arial" w:hAnsi="Arial" w:hint="default"/>
      </w:rPr>
    </w:lvl>
    <w:lvl w:ilvl="3" w:tplc="2BFA7520" w:tentative="1">
      <w:start w:val="1"/>
      <w:numFmt w:val="bullet"/>
      <w:lvlText w:val="•"/>
      <w:lvlJc w:val="left"/>
      <w:pPr>
        <w:tabs>
          <w:tab w:val="num" w:pos="2880"/>
        </w:tabs>
        <w:ind w:left="2880" w:hanging="360"/>
      </w:pPr>
      <w:rPr>
        <w:rFonts w:ascii="Arial" w:hAnsi="Arial" w:hint="default"/>
      </w:rPr>
    </w:lvl>
    <w:lvl w:ilvl="4" w:tplc="DA6CECEC" w:tentative="1">
      <w:start w:val="1"/>
      <w:numFmt w:val="bullet"/>
      <w:lvlText w:val="•"/>
      <w:lvlJc w:val="left"/>
      <w:pPr>
        <w:tabs>
          <w:tab w:val="num" w:pos="3600"/>
        </w:tabs>
        <w:ind w:left="3600" w:hanging="360"/>
      </w:pPr>
      <w:rPr>
        <w:rFonts w:ascii="Arial" w:hAnsi="Arial" w:hint="default"/>
      </w:rPr>
    </w:lvl>
    <w:lvl w:ilvl="5" w:tplc="E0D4B706" w:tentative="1">
      <w:start w:val="1"/>
      <w:numFmt w:val="bullet"/>
      <w:lvlText w:val="•"/>
      <w:lvlJc w:val="left"/>
      <w:pPr>
        <w:tabs>
          <w:tab w:val="num" w:pos="4320"/>
        </w:tabs>
        <w:ind w:left="4320" w:hanging="360"/>
      </w:pPr>
      <w:rPr>
        <w:rFonts w:ascii="Arial" w:hAnsi="Arial" w:hint="default"/>
      </w:rPr>
    </w:lvl>
    <w:lvl w:ilvl="6" w:tplc="D48A3EA0" w:tentative="1">
      <w:start w:val="1"/>
      <w:numFmt w:val="bullet"/>
      <w:lvlText w:val="•"/>
      <w:lvlJc w:val="left"/>
      <w:pPr>
        <w:tabs>
          <w:tab w:val="num" w:pos="5040"/>
        </w:tabs>
        <w:ind w:left="5040" w:hanging="360"/>
      </w:pPr>
      <w:rPr>
        <w:rFonts w:ascii="Arial" w:hAnsi="Arial" w:hint="default"/>
      </w:rPr>
    </w:lvl>
    <w:lvl w:ilvl="7" w:tplc="0DB2AC2E" w:tentative="1">
      <w:start w:val="1"/>
      <w:numFmt w:val="bullet"/>
      <w:lvlText w:val="•"/>
      <w:lvlJc w:val="left"/>
      <w:pPr>
        <w:tabs>
          <w:tab w:val="num" w:pos="5760"/>
        </w:tabs>
        <w:ind w:left="5760" w:hanging="360"/>
      </w:pPr>
      <w:rPr>
        <w:rFonts w:ascii="Arial" w:hAnsi="Arial" w:hint="default"/>
      </w:rPr>
    </w:lvl>
    <w:lvl w:ilvl="8" w:tplc="D0585FB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9"/>
  </w:num>
  <w:num w:numId="4">
    <w:abstractNumId w:val="15"/>
  </w:num>
  <w:num w:numId="5">
    <w:abstractNumId w:val="12"/>
  </w:num>
  <w:num w:numId="6">
    <w:abstractNumId w:val="11"/>
  </w:num>
  <w:num w:numId="7">
    <w:abstractNumId w:val="2"/>
  </w:num>
  <w:num w:numId="8">
    <w:abstractNumId w:val="8"/>
  </w:num>
  <w:num w:numId="9">
    <w:abstractNumId w:val="13"/>
  </w:num>
  <w:num w:numId="10">
    <w:abstractNumId w:val="5"/>
  </w:num>
  <w:num w:numId="11">
    <w:abstractNumId w:val="10"/>
  </w:num>
  <w:num w:numId="12">
    <w:abstractNumId w:val="4"/>
  </w:num>
  <w:num w:numId="13">
    <w:abstractNumId w:val="14"/>
  </w:num>
  <w:num w:numId="14">
    <w:abstractNumId w:val="16"/>
  </w:num>
  <w:num w:numId="15">
    <w:abstractNumId w:val="7"/>
  </w:num>
  <w:num w:numId="16">
    <w:abstractNumId w:val="0"/>
  </w:num>
  <w:num w:numId="17">
    <w:abstractNumId w:val="18"/>
  </w:num>
  <w:num w:numId="18">
    <w:abstractNumId w:val="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9FF"/>
    <w:rsid w:val="00000D7E"/>
    <w:rsid w:val="00001D21"/>
    <w:rsid w:val="00002188"/>
    <w:rsid w:val="00006716"/>
    <w:rsid w:val="00010896"/>
    <w:rsid w:val="000119AB"/>
    <w:rsid w:val="00015417"/>
    <w:rsid w:val="00015BAE"/>
    <w:rsid w:val="00016345"/>
    <w:rsid w:val="00016D53"/>
    <w:rsid w:val="00020119"/>
    <w:rsid w:val="00023E60"/>
    <w:rsid w:val="00024205"/>
    <w:rsid w:val="00025289"/>
    <w:rsid w:val="000261E9"/>
    <w:rsid w:val="00030E3E"/>
    <w:rsid w:val="000327A7"/>
    <w:rsid w:val="000760F6"/>
    <w:rsid w:val="000771E5"/>
    <w:rsid w:val="000944DA"/>
    <w:rsid w:val="000A1A43"/>
    <w:rsid w:val="000A6A59"/>
    <w:rsid w:val="000B55A1"/>
    <w:rsid w:val="000C0082"/>
    <w:rsid w:val="000C1F06"/>
    <w:rsid w:val="000C432F"/>
    <w:rsid w:val="000D0CA7"/>
    <w:rsid w:val="000D52C6"/>
    <w:rsid w:val="001062E2"/>
    <w:rsid w:val="001113FC"/>
    <w:rsid w:val="00117596"/>
    <w:rsid w:val="00126F37"/>
    <w:rsid w:val="001309D7"/>
    <w:rsid w:val="00140B4B"/>
    <w:rsid w:val="00143B00"/>
    <w:rsid w:val="00144609"/>
    <w:rsid w:val="001523E2"/>
    <w:rsid w:val="00156BA2"/>
    <w:rsid w:val="00165D5B"/>
    <w:rsid w:val="00170CDB"/>
    <w:rsid w:val="00172C9B"/>
    <w:rsid w:val="00175C93"/>
    <w:rsid w:val="001772B0"/>
    <w:rsid w:val="0018094E"/>
    <w:rsid w:val="00192608"/>
    <w:rsid w:val="00194EED"/>
    <w:rsid w:val="00195B1E"/>
    <w:rsid w:val="001A0045"/>
    <w:rsid w:val="001B0AD5"/>
    <w:rsid w:val="001B1DA8"/>
    <w:rsid w:val="001B200F"/>
    <w:rsid w:val="001B53FA"/>
    <w:rsid w:val="001B6108"/>
    <w:rsid w:val="001C2E92"/>
    <w:rsid w:val="001C5361"/>
    <w:rsid w:val="001C538D"/>
    <w:rsid w:val="001D7B13"/>
    <w:rsid w:val="001E6718"/>
    <w:rsid w:val="002122B9"/>
    <w:rsid w:val="0021516F"/>
    <w:rsid w:val="00216868"/>
    <w:rsid w:val="002174EF"/>
    <w:rsid w:val="002218C2"/>
    <w:rsid w:val="00221C37"/>
    <w:rsid w:val="00224A65"/>
    <w:rsid w:val="0022519E"/>
    <w:rsid w:val="00232D31"/>
    <w:rsid w:val="00235966"/>
    <w:rsid w:val="00237A5D"/>
    <w:rsid w:val="00245C33"/>
    <w:rsid w:val="00247675"/>
    <w:rsid w:val="0025373A"/>
    <w:rsid w:val="00254D5F"/>
    <w:rsid w:val="00261130"/>
    <w:rsid w:val="0026603E"/>
    <w:rsid w:val="00266C08"/>
    <w:rsid w:val="002713E4"/>
    <w:rsid w:val="002728E6"/>
    <w:rsid w:val="00274E4D"/>
    <w:rsid w:val="00281DEC"/>
    <w:rsid w:val="00282AA0"/>
    <w:rsid w:val="0028477F"/>
    <w:rsid w:val="0029225F"/>
    <w:rsid w:val="00293D44"/>
    <w:rsid w:val="002A44D5"/>
    <w:rsid w:val="002C178C"/>
    <w:rsid w:val="002C23AF"/>
    <w:rsid w:val="002C5557"/>
    <w:rsid w:val="002D0088"/>
    <w:rsid w:val="002D2B7A"/>
    <w:rsid w:val="002D5659"/>
    <w:rsid w:val="00306E5D"/>
    <w:rsid w:val="00315664"/>
    <w:rsid w:val="00327DFD"/>
    <w:rsid w:val="0033170A"/>
    <w:rsid w:val="00331F5E"/>
    <w:rsid w:val="00332514"/>
    <w:rsid w:val="00332611"/>
    <w:rsid w:val="00332B77"/>
    <w:rsid w:val="00335C49"/>
    <w:rsid w:val="00335CA0"/>
    <w:rsid w:val="0034043C"/>
    <w:rsid w:val="00340745"/>
    <w:rsid w:val="00344826"/>
    <w:rsid w:val="00345CD8"/>
    <w:rsid w:val="00345EE7"/>
    <w:rsid w:val="00346EC5"/>
    <w:rsid w:val="00361316"/>
    <w:rsid w:val="003614A3"/>
    <w:rsid w:val="00361A7F"/>
    <w:rsid w:val="003624CB"/>
    <w:rsid w:val="00377147"/>
    <w:rsid w:val="0038530B"/>
    <w:rsid w:val="00387FE7"/>
    <w:rsid w:val="00395979"/>
    <w:rsid w:val="003A766B"/>
    <w:rsid w:val="003B24E2"/>
    <w:rsid w:val="003B42C9"/>
    <w:rsid w:val="003C003A"/>
    <w:rsid w:val="003C3161"/>
    <w:rsid w:val="003E01D7"/>
    <w:rsid w:val="003F27C3"/>
    <w:rsid w:val="004018E1"/>
    <w:rsid w:val="00401FFF"/>
    <w:rsid w:val="004030AD"/>
    <w:rsid w:val="004044DA"/>
    <w:rsid w:val="00431C19"/>
    <w:rsid w:val="004329DC"/>
    <w:rsid w:val="00442C9F"/>
    <w:rsid w:val="00447B0D"/>
    <w:rsid w:val="00452B19"/>
    <w:rsid w:val="00453522"/>
    <w:rsid w:val="00456D90"/>
    <w:rsid w:val="00470109"/>
    <w:rsid w:val="00473F50"/>
    <w:rsid w:val="0047465C"/>
    <w:rsid w:val="004808E3"/>
    <w:rsid w:val="004822E7"/>
    <w:rsid w:val="00486CBC"/>
    <w:rsid w:val="00492E40"/>
    <w:rsid w:val="004A0543"/>
    <w:rsid w:val="004A0965"/>
    <w:rsid w:val="004A20F0"/>
    <w:rsid w:val="004A41A7"/>
    <w:rsid w:val="004A5748"/>
    <w:rsid w:val="004A5E7F"/>
    <w:rsid w:val="004A6A50"/>
    <w:rsid w:val="004C2EDA"/>
    <w:rsid w:val="004D1036"/>
    <w:rsid w:val="004D1A16"/>
    <w:rsid w:val="004D442E"/>
    <w:rsid w:val="004E36A0"/>
    <w:rsid w:val="004F4076"/>
    <w:rsid w:val="004F4B8A"/>
    <w:rsid w:val="004F5E92"/>
    <w:rsid w:val="004F7040"/>
    <w:rsid w:val="00502542"/>
    <w:rsid w:val="0050710A"/>
    <w:rsid w:val="00510513"/>
    <w:rsid w:val="00517F9A"/>
    <w:rsid w:val="005203A5"/>
    <w:rsid w:val="00521654"/>
    <w:rsid w:val="0054266D"/>
    <w:rsid w:val="00542E10"/>
    <w:rsid w:val="0055215F"/>
    <w:rsid w:val="0057334E"/>
    <w:rsid w:val="0057580A"/>
    <w:rsid w:val="00581EAD"/>
    <w:rsid w:val="00592BC3"/>
    <w:rsid w:val="005A059E"/>
    <w:rsid w:val="005A70DF"/>
    <w:rsid w:val="005C090C"/>
    <w:rsid w:val="005C24DC"/>
    <w:rsid w:val="005C2653"/>
    <w:rsid w:val="005C67FD"/>
    <w:rsid w:val="005D58C5"/>
    <w:rsid w:val="005D66F0"/>
    <w:rsid w:val="005D7B57"/>
    <w:rsid w:val="005E351A"/>
    <w:rsid w:val="005F50B7"/>
    <w:rsid w:val="00604063"/>
    <w:rsid w:val="00606D6C"/>
    <w:rsid w:val="006107BC"/>
    <w:rsid w:val="00610ED2"/>
    <w:rsid w:val="00617F7D"/>
    <w:rsid w:val="00623F23"/>
    <w:rsid w:val="00626544"/>
    <w:rsid w:val="006314F0"/>
    <w:rsid w:val="00632BBE"/>
    <w:rsid w:val="006362B6"/>
    <w:rsid w:val="00644568"/>
    <w:rsid w:val="006449F3"/>
    <w:rsid w:val="00646118"/>
    <w:rsid w:val="00647994"/>
    <w:rsid w:val="00665E85"/>
    <w:rsid w:val="0066735B"/>
    <w:rsid w:val="0067048D"/>
    <w:rsid w:val="0067265A"/>
    <w:rsid w:val="00674623"/>
    <w:rsid w:val="006905E1"/>
    <w:rsid w:val="00690693"/>
    <w:rsid w:val="006964BD"/>
    <w:rsid w:val="006A0EDE"/>
    <w:rsid w:val="006A3496"/>
    <w:rsid w:val="006B7B7B"/>
    <w:rsid w:val="006C2041"/>
    <w:rsid w:val="006C2486"/>
    <w:rsid w:val="006D51C2"/>
    <w:rsid w:val="006E0C1A"/>
    <w:rsid w:val="006E2C3E"/>
    <w:rsid w:val="00700188"/>
    <w:rsid w:val="0070357C"/>
    <w:rsid w:val="00710AEF"/>
    <w:rsid w:val="0072145C"/>
    <w:rsid w:val="007252ED"/>
    <w:rsid w:val="00726327"/>
    <w:rsid w:val="00730716"/>
    <w:rsid w:val="00733026"/>
    <w:rsid w:val="00754C13"/>
    <w:rsid w:val="00764FA3"/>
    <w:rsid w:val="00764FB5"/>
    <w:rsid w:val="007650DD"/>
    <w:rsid w:val="00766789"/>
    <w:rsid w:val="007770AC"/>
    <w:rsid w:val="00781827"/>
    <w:rsid w:val="00786080"/>
    <w:rsid w:val="00786785"/>
    <w:rsid w:val="00787C79"/>
    <w:rsid w:val="0079005D"/>
    <w:rsid w:val="0079656F"/>
    <w:rsid w:val="007A079A"/>
    <w:rsid w:val="007A1F10"/>
    <w:rsid w:val="007A2005"/>
    <w:rsid w:val="007A31AC"/>
    <w:rsid w:val="007A39D1"/>
    <w:rsid w:val="007A595B"/>
    <w:rsid w:val="007A783C"/>
    <w:rsid w:val="007B01B3"/>
    <w:rsid w:val="007B1E07"/>
    <w:rsid w:val="007B5EC0"/>
    <w:rsid w:val="007B78DC"/>
    <w:rsid w:val="007D7E9C"/>
    <w:rsid w:val="007E6FD9"/>
    <w:rsid w:val="007F15E5"/>
    <w:rsid w:val="007F2657"/>
    <w:rsid w:val="007F34C9"/>
    <w:rsid w:val="007F5516"/>
    <w:rsid w:val="007F62B2"/>
    <w:rsid w:val="007F7E39"/>
    <w:rsid w:val="008007B7"/>
    <w:rsid w:val="00800A88"/>
    <w:rsid w:val="008029BB"/>
    <w:rsid w:val="0080568E"/>
    <w:rsid w:val="00810433"/>
    <w:rsid w:val="00811884"/>
    <w:rsid w:val="00811F12"/>
    <w:rsid w:val="008270BE"/>
    <w:rsid w:val="00832161"/>
    <w:rsid w:val="00833A6D"/>
    <w:rsid w:val="00851227"/>
    <w:rsid w:val="00851822"/>
    <w:rsid w:val="0085741E"/>
    <w:rsid w:val="00861914"/>
    <w:rsid w:val="008630F7"/>
    <w:rsid w:val="0086639B"/>
    <w:rsid w:val="008730FA"/>
    <w:rsid w:val="00874270"/>
    <w:rsid w:val="0089269F"/>
    <w:rsid w:val="00896D39"/>
    <w:rsid w:val="008B6D14"/>
    <w:rsid w:val="008C5793"/>
    <w:rsid w:val="008C6117"/>
    <w:rsid w:val="008C6D4B"/>
    <w:rsid w:val="008D1838"/>
    <w:rsid w:val="008D1A97"/>
    <w:rsid w:val="008D45D9"/>
    <w:rsid w:val="008D5FE2"/>
    <w:rsid w:val="008E2AA2"/>
    <w:rsid w:val="008E7A64"/>
    <w:rsid w:val="008F34AD"/>
    <w:rsid w:val="0092140F"/>
    <w:rsid w:val="0093646E"/>
    <w:rsid w:val="009368A8"/>
    <w:rsid w:val="00945ED3"/>
    <w:rsid w:val="0094749B"/>
    <w:rsid w:val="00947F08"/>
    <w:rsid w:val="00951BB5"/>
    <w:rsid w:val="00955847"/>
    <w:rsid w:val="00962545"/>
    <w:rsid w:val="00964100"/>
    <w:rsid w:val="009652E7"/>
    <w:rsid w:val="0097280C"/>
    <w:rsid w:val="00972912"/>
    <w:rsid w:val="009748B7"/>
    <w:rsid w:val="009766A7"/>
    <w:rsid w:val="00985BC7"/>
    <w:rsid w:val="00986308"/>
    <w:rsid w:val="009869AF"/>
    <w:rsid w:val="00991924"/>
    <w:rsid w:val="00992DFC"/>
    <w:rsid w:val="00993439"/>
    <w:rsid w:val="00993E11"/>
    <w:rsid w:val="009A1E27"/>
    <w:rsid w:val="009A5CCA"/>
    <w:rsid w:val="009A6349"/>
    <w:rsid w:val="009B085E"/>
    <w:rsid w:val="009C0CFC"/>
    <w:rsid w:val="009C482A"/>
    <w:rsid w:val="009C7314"/>
    <w:rsid w:val="009E2764"/>
    <w:rsid w:val="009E61A0"/>
    <w:rsid w:val="009E6311"/>
    <w:rsid w:val="009F58DB"/>
    <w:rsid w:val="009F6677"/>
    <w:rsid w:val="00A15274"/>
    <w:rsid w:val="00A22B75"/>
    <w:rsid w:val="00A26667"/>
    <w:rsid w:val="00A403B0"/>
    <w:rsid w:val="00A45FFE"/>
    <w:rsid w:val="00A46BE0"/>
    <w:rsid w:val="00A47B6B"/>
    <w:rsid w:val="00A55D55"/>
    <w:rsid w:val="00A61709"/>
    <w:rsid w:val="00A63A77"/>
    <w:rsid w:val="00A7027B"/>
    <w:rsid w:val="00A76578"/>
    <w:rsid w:val="00A8047F"/>
    <w:rsid w:val="00A82D30"/>
    <w:rsid w:val="00A82F99"/>
    <w:rsid w:val="00A8355C"/>
    <w:rsid w:val="00A8383D"/>
    <w:rsid w:val="00A902C5"/>
    <w:rsid w:val="00A9587E"/>
    <w:rsid w:val="00AA1382"/>
    <w:rsid w:val="00AA41EB"/>
    <w:rsid w:val="00AA578F"/>
    <w:rsid w:val="00AB1154"/>
    <w:rsid w:val="00AB3D14"/>
    <w:rsid w:val="00AC3CA0"/>
    <w:rsid w:val="00AC430D"/>
    <w:rsid w:val="00AC44BC"/>
    <w:rsid w:val="00AC52BC"/>
    <w:rsid w:val="00AC6D7E"/>
    <w:rsid w:val="00AD093D"/>
    <w:rsid w:val="00AD23E7"/>
    <w:rsid w:val="00AD2D31"/>
    <w:rsid w:val="00AE4CB4"/>
    <w:rsid w:val="00AE5254"/>
    <w:rsid w:val="00B019F6"/>
    <w:rsid w:val="00B04658"/>
    <w:rsid w:val="00B2280D"/>
    <w:rsid w:val="00B258F4"/>
    <w:rsid w:val="00B27D77"/>
    <w:rsid w:val="00B37341"/>
    <w:rsid w:val="00B40DBE"/>
    <w:rsid w:val="00B40F9F"/>
    <w:rsid w:val="00B45D8C"/>
    <w:rsid w:val="00B464A6"/>
    <w:rsid w:val="00B519CB"/>
    <w:rsid w:val="00B54F77"/>
    <w:rsid w:val="00B61D76"/>
    <w:rsid w:val="00B74FC7"/>
    <w:rsid w:val="00B95186"/>
    <w:rsid w:val="00BA12AD"/>
    <w:rsid w:val="00BA1A40"/>
    <w:rsid w:val="00BA4EF4"/>
    <w:rsid w:val="00BA5B65"/>
    <w:rsid w:val="00BA5B7E"/>
    <w:rsid w:val="00BB0851"/>
    <w:rsid w:val="00BB1B35"/>
    <w:rsid w:val="00BB1D3B"/>
    <w:rsid w:val="00BC0FB3"/>
    <w:rsid w:val="00BC1EC5"/>
    <w:rsid w:val="00BC2502"/>
    <w:rsid w:val="00BC2FBB"/>
    <w:rsid w:val="00BC6F0A"/>
    <w:rsid w:val="00BD0745"/>
    <w:rsid w:val="00BD3572"/>
    <w:rsid w:val="00BE0B38"/>
    <w:rsid w:val="00BF06E8"/>
    <w:rsid w:val="00C02765"/>
    <w:rsid w:val="00C0428A"/>
    <w:rsid w:val="00C20445"/>
    <w:rsid w:val="00C234F0"/>
    <w:rsid w:val="00C276E5"/>
    <w:rsid w:val="00C31CAB"/>
    <w:rsid w:val="00C31EC7"/>
    <w:rsid w:val="00C32E65"/>
    <w:rsid w:val="00C46C4F"/>
    <w:rsid w:val="00C50386"/>
    <w:rsid w:val="00C5191D"/>
    <w:rsid w:val="00C56546"/>
    <w:rsid w:val="00C617ED"/>
    <w:rsid w:val="00C62AA6"/>
    <w:rsid w:val="00C62EBC"/>
    <w:rsid w:val="00C63BBC"/>
    <w:rsid w:val="00C63C53"/>
    <w:rsid w:val="00C64945"/>
    <w:rsid w:val="00C74951"/>
    <w:rsid w:val="00C8620F"/>
    <w:rsid w:val="00CA02AC"/>
    <w:rsid w:val="00CA15F3"/>
    <w:rsid w:val="00CA2E33"/>
    <w:rsid w:val="00CA4103"/>
    <w:rsid w:val="00CB30E5"/>
    <w:rsid w:val="00CB547C"/>
    <w:rsid w:val="00CC0E51"/>
    <w:rsid w:val="00CC4CBF"/>
    <w:rsid w:val="00CC5FC7"/>
    <w:rsid w:val="00CD72A4"/>
    <w:rsid w:val="00CE7D06"/>
    <w:rsid w:val="00D01AEB"/>
    <w:rsid w:val="00D03537"/>
    <w:rsid w:val="00D10401"/>
    <w:rsid w:val="00D11F3B"/>
    <w:rsid w:val="00D13B95"/>
    <w:rsid w:val="00D166E4"/>
    <w:rsid w:val="00D16D34"/>
    <w:rsid w:val="00D26014"/>
    <w:rsid w:val="00D32569"/>
    <w:rsid w:val="00D351EB"/>
    <w:rsid w:val="00D36F42"/>
    <w:rsid w:val="00D4507E"/>
    <w:rsid w:val="00D52B05"/>
    <w:rsid w:val="00D5337D"/>
    <w:rsid w:val="00D549FF"/>
    <w:rsid w:val="00D56307"/>
    <w:rsid w:val="00D66BAA"/>
    <w:rsid w:val="00D7272D"/>
    <w:rsid w:val="00D72E26"/>
    <w:rsid w:val="00D8403E"/>
    <w:rsid w:val="00D86EDD"/>
    <w:rsid w:val="00D925D4"/>
    <w:rsid w:val="00D9543F"/>
    <w:rsid w:val="00D96226"/>
    <w:rsid w:val="00DA08A3"/>
    <w:rsid w:val="00DB50A6"/>
    <w:rsid w:val="00DB6A87"/>
    <w:rsid w:val="00DC43E9"/>
    <w:rsid w:val="00DD3C6E"/>
    <w:rsid w:val="00DD4CD6"/>
    <w:rsid w:val="00DD6675"/>
    <w:rsid w:val="00DE2AD5"/>
    <w:rsid w:val="00DE511C"/>
    <w:rsid w:val="00DE78F8"/>
    <w:rsid w:val="00DF1B06"/>
    <w:rsid w:val="00DF571E"/>
    <w:rsid w:val="00DF5E00"/>
    <w:rsid w:val="00E07804"/>
    <w:rsid w:val="00E1047E"/>
    <w:rsid w:val="00E16206"/>
    <w:rsid w:val="00E16A6D"/>
    <w:rsid w:val="00E16AF4"/>
    <w:rsid w:val="00E17561"/>
    <w:rsid w:val="00E22404"/>
    <w:rsid w:val="00E27733"/>
    <w:rsid w:val="00E31C26"/>
    <w:rsid w:val="00E36BDC"/>
    <w:rsid w:val="00E40302"/>
    <w:rsid w:val="00E5055A"/>
    <w:rsid w:val="00E53205"/>
    <w:rsid w:val="00E62E8B"/>
    <w:rsid w:val="00E70E48"/>
    <w:rsid w:val="00E73878"/>
    <w:rsid w:val="00E74745"/>
    <w:rsid w:val="00E779F8"/>
    <w:rsid w:val="00E82311"/>
    <w:rsid w:val="00E82E74"/>
    <w:rsid w:val="00E83251"/>
    <w:rsid w:val="00E92968"/>
    <w:rsid w:val="00EA6621"/>
    <w:rsid w:val="00EA7A57"/>
    <w:rsid w:val="00EB19B6"/>
    <w:rsid w:val="00EB38CE"/>
    <w:rsid w:val="00ED4FB8"/>
    <w:rsid w:val="00EE2845"/>
    <w:rsid w:val="00EE41D9"/>
    <w:rsid w:val="00EE7337"/>
    <w:rsid w:val="00F04B6C"/>
    <w:rsid w:val="00F112A6"/>
    <w:rsid w:val="00F171FC"/>
    <w:rsid w:val="00F23A2A"/>
    <w:rsid w:val="00F2516F"/>
    <w:rsid w:val="00F25BCE"/>
    <w:rsid w:val="00F37309"/>
    <w:rsid w:val="00F479B7"/>
    <w:rsid w:val="00F53839"/>
    <w:rsid w:val="00F574FE"/>
    <w:rsid w:val="00F6004E"/>
    <w:rsid w:val="00F620CC"/>
    <w:rsid w:val="00F62E7D"/>
    <w:rsid w:val="00F66EBB"/>
    <w:rsid w:val="00F72A54"/>
    <w:rsid w:val="00F72C7A"/>
    <w:rsid w:val="00F828B5"/>
    <w:rsid w:val="00F91102"/>
    <w:rsid w:val="00F9461B"/>
    <w:rsid w:val="00F9735E"/>
    <w:rsid w:val="00FA2025"/>
    <w:rsid w:val="00FA43FA"/>
    <w:rsid w:val="00FB09FC"/>
    <w:rsid w:val="00FB7468"/>
    <w:rsid w:val="00FC3406"/>
    <w:rsid w:val="00FC5627"/>
    <w:rsid w:val="00FC73BB"/>
    <w:rsid w:val="00FE181A"/>
    <w:rsid w:val="00FE1BDE"/>
    <w:rsid w:val="00FE2860"/>
    <w:rsid w:val="00FF6E1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92C06"/>
  <w15:chartTrackingRefBased/>
  <w15:docId w15:val="{87E84A29-D870-4562-963B-5142FDEA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A0965"/>
    <w:pPr>
      <w:widowControl w:val="0"/>
      <w:autoSpaceDE w:val="0"/>
      <w:autoSpaceDN w:val="0"/>
      <w:spacing w:after="0" w:line="240" w:lineRule="auto"/>
      <w:ind w:left="680"/>
      <w:outlineLvl w:val="0"/>
    </w:pPr>
    <w:rPr>
      <w:rFonts w:ascii="Calibri" w:eastAsia="Calibri" w:hAnsi="Calibri" w:cs="Calibri"/>
      <w:b/>
      <w:bCs/>
      <w:sz w:val="32"/>
      <w:szCs w:val="32"/>
      <w:lang w:eastAsia="en-NZ" w:bidi="en-NZ"/>
    </w:rPr>
  </w:style>
  <w:style w:type="paragraph" w:styleId="Heading2">
    <w:name w:val="heading 2"/>
    <w:basedOn w:val="Normal"/>
    <w:next w:val="Normal"/>
    <w:link w:val="Heading2Char"/>
    <w:uiPriority w:val="9"/>
    <w:unhideWhenUsed/>
    <w:qFormat/>
    <w:rsid w:val="00A958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030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549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49F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A0965"/>
    <w:rPr>
      <w:rFonts w:ascii="Calibri" w:eastAsia="Calibri" w:hAnsi="Calibri" w:cs="Calibri"/>
      <w:b/>
      <w:bCs/>
      <w:sz w:val="32"/>
      <w:szCs w:val="32"/>
      <w:lang w:eastAsia="en-NZ" w:bidi="en-NZ"/>
    </w:rPr>
  </w:style>
  <w:style w:type="paragraph" w:styleId="BodyText">
    <w:name w:val="Body Text"/>
    <w:basedOn w:val="Normal"/>
    <w:link w:val="BodyTextChar"/>
    <w:uiPriority w:val="1"/>
    <w:qFormat/>
    <w:rsid w:val="004A0965"/>
    <w:pPr>
      <w:widowControl w:val="0"/>
      <w:autoSpaceDE w:val="0"/>
      <w:autoSpaceDN w:val="0"/>
      <w:spacing w:after="0" w:line="240" w:lineRule="auto"/>
    </w:pPr>
    <w:rPr>
      <w:rFonts w:eastAsia="Arial"/>
      <w:lang w:eastAsia="en-NZ" w:bidi="en-NZ"/>
    </w:rPr>
  </w:style>
  <w:style w:type="character" w:customStyle="1" w:styleId="BodyTextChar">
    <w:name w:val="Body Text Char"/>
    <w:basedOn w:val="DefaultParagraphFont"/>
    <w:link w:val="BodyText"/>
    <w:uiPriority w:val="1"/>
    <w:rsid w:val="004A0965"/>
    <w:rPr>
      <w:rFonts w:eastAsia="Arial"/>
      <w:lang w:eastAsia="en-NZ" w:bidi="en-NZ"/>
    </w:rPr>
  </w:style>
  <w:style w:type="table" w:styleId="GridTable1Light-Accent5">
    <w:name w:val="Grid Table 1 Light Accent 5"/>
    <w:basedOn w:val="TableNormal"/>
    <w:uiPriority w:val="46"/>
    <w:rsid w:val="004A0965"/>
    <w:pPr>
      <w:widowControl w:val="0"/>
      <w:autoSpaceDE w:val="0"/>
      <w:autoSpaceDN w:val="0"/>
      <w:spacing w:after="0" w:line="240" w:lineRule="auto"/>
    </w:pPr>
    <w:rPr>
      <w:rFonts w:asciiTheme="minorHAnsi" w:hAnsiTheme="minorHAnsi" w:cstheme="minorBidi"/>
      <w:lang w:val="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4030AD"/>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144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44609"/>
    <w:rPr>
      <w:b/>
      <w:bCs/>
      <w:color w:val="000000" w:themeColor="text1"/>
    </w:rPr>
  </w:style>
  <w:style w:type="table" w:styleId="GridTable4-Accent6">
    <w:name w:val="Grid Table 4 Accent 6"/>
    <w:basedOn w:val="TableNormal"/>
    <w:uiPriority w:val="49"/>
    <w:rsid w:val="009E276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2Char">
    <w:name w:val="Heading 2 Char"/>
    <w:basedOn w:val="DefaultParagraphFont"/>
    <w:link w:val="Heading2"/>
    <w:uiPriority w:val="9"/>
    <w:rsid w:val="00A9587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9587E"/>
    <w:pPr>
      <w:ind w:left="720"/>
      <w:contextualSpacing/>
    </w:pPr>
  </w:style>
  <w:style w:type="paragraph" w:styleId="BalloonText">
    <w:name w:val="Balloon Text"/>
    <w:basedOn w:val="Normal"/>
    <w:link w:val="BalloonTextChar"/>
    <w:uiPriority w:val="99"/>
    <w:semiHidden/>
    <w:unhideWhenUsed/>
    <w:rsid w:val="00A958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87E"/>
    <w:rPr>
      <w:rFonts w:ascii="Segoe UI" w:hAnsi="Segoe UI" w:cs="Segoe UI"/>
      <w:sz w:val="18"/>
      <w:szCs w:val="18"/>
    </w:rPr>
  </w:style>
  <w:style w:type="table" w:styleId="GridTable4-Accent1">
    <w:name w:val="Grid Table 4 Accent 1"/>
    <w:basedOn w:val="TableNormal"/>
    <w:uiPriority w:val="49"/>
    <w:rsid w:val="00A9587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6">
    <w:name w:val="Grid Table 5 Dark Accent 6"/>
    <w:basedOn w:val="TableNormal"/>
    <w:uiPriority w:val="50"/>
    <w:rsid w:val="00AD09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Accent4">
    <w:name w:val="Grid Table 4 Accent 4"/>
    <w:basedOn w:val="TableNormal"/>
    <w:uiPriority w:val="49"/>
    <w:rsid w:val="00E2240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Hyperlink">
    <w:name w:val="Hyperlink"/>
    <w:basedOn w:val="DefaultParagraphFont"/>
    <w:uiPriority w:val="99"/>
    <w:unhideWhenUsed/>
    <w:rsid w:val="00C20445"/>
    <w:rPr>
      <w:color w:val="0563C1" w:themeColor="hyperlink"/>
      <w:u w:val="single"/>
    </w:rPr>
  </w:style>
  <w:style w:type="table" w:customStyle="1" w:styleId="TableGrid1">
    <w:name w:val="Table Grid1"/>
    <w:basedOn w:val="TableNormal"/>
    <w:next w:val="TableGrid"/>
    <w:uiPriority w:val="39"/>
    <w:rsid w:val="00362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3624C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DF57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71E"/>
  </w:style>
  <w:style w:type="paragraph" w:styleId="Footer">
    <w:name w:val="footer"/>
    <w:basedOn w:val="Normal"/>
    <w:link w:val="FooterChar"/>
    <w:uiPriority w:val="99"/>
    <w:unhideWhenUsed/>
    <w:rsid w:val="00DF57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71E"/>
  </w:style>
  <w:style w:type="paragraph" w:styleId="TOCHeading">
    <w:name w:val="TOC Heading"/>
    <w:basedOn w:val="Heading1"/>
    <w:next w:val="Normal"/>
    <w:uiPriority w:val="39"/>
    <w:unhideWhenUsed/>
    <w:qFormat/>
    <w:rsid w:val="00335C49"/>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lang w:val="en-US" w:eastAsia="en-US" w:bidi="ar-SA"/>
    </w:rPr>
  </w:style>
  <w:style w:type="paragraph" w:styleId="TOC1">
    <w:name w:val="toc 1"/>
    <w:basedOn w:val="Normal"/>
    <w:next w:val="Normal"/>
    <w:autoRedefine/>
    <w:uiPriority w:val="39"/>
    <w:unhideWhenUsed/>
    <w:rsid w:val="00335C49"/>
    <w:pPr>
      <w:spacing w:after="100"/>
    </w:pPr>
  </w:style>
  <w:style w:type="paragraph" w:styleId="TOC2">
    <w:name w:val="toc 2"/>
    <w:basedOn w:val="Normal"/>
    <w:next w:val="Normal"/>
    <w:autoRedefine/>
    <w:uiPriority w:val="39"/>
    <w:unhideWhenUsed/>
    <w:rsid w:val="00335C49"/>
    <w:pPr>
      <w:spacing w:after="100"/>
      <w:ind w:left="220"/>
    </w:pPr>
  </w:style>
  <w:style w:type="paragraph" w:styleId="TOC3">
    <w:name w:val="toc 3"/>
    <w:basedOn w:val="Normal"/>
    <w:next w:val="Normal"/>
    <w:autoRedefine/>
    <w:uiPriority w:val="39"/>
    <w:unhideWhenUsed/>
    <w:rsid w:val="00335C49"/>
    <w:pPr>
      <w:spacing w:after="100"/>
      <w:ind w:left="440"/>
    </w:pPr>
  </w:style>
  <w:style w:type="paragraph" w:customStyle="1" w:styleId="TableParagraph">
    <w:name w:val="Table Paragraph"/>
    <w:basedOn w:val="Normal"/>
    <w:uiPriority w:val="1"/>
    <w:qFormat/>
    <w:rsid w:val="00AB1154"/>
    <w:pPr>
      <w:widowControl w:val="0"/>
      <w:autoSpaceDE w:val="0"/>
      <w:autoSpaceDN w:val="0"/>
      <w:spacing w:after="0" w:line="240" w:lineRule="auto"/>
    </w:pPr>
    <w:rPr>
      <w:rFonts w:ascii="Trebuchet MS" w:eastAsia="Trebuchet MS" w:hAnsi="Trebuchet MS" w:cs="Trebuchet MS"/>
      <w:lang w:val="en-US"/>
    </w:rPr>
  </w:style>
  <w:style w:type="character" w:styleId="IntenseReference">
    <w:name w:val="Intense Reference"/>
    <w:basedOn w:val="DefaultParagraphFont"/>
    <w:uiPriority w:val="32"/>
    <w:qFormat/>
    <w:rsid w:val="00754C13"/>
    <w:rPr>
      <w:b/>
      <w:bCs/>
      <w:smallCaps/>
      <w:color w:val="5B9BD5" w:themeColor="accent1"/>
      <w:spacing w:val="5"/>
    </w:rPr>
  </w:style>
  <w:style w:type="paragraph" w:styleId="FootnoteText">
    <w:name w:val="footnote text"/>
    <w:basedOn w:val="Normal"/>
    <w:link w:val="FootnoteTextChar"/>
    <w:uiPriority w:val="99"/>
    <w:semiHidden/>
    <w:unhideWhenUsed/>
    <w:rsid w:val="00754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4C13"/>
    <w:rPr>
      <w:sz w:val="20"/>
      <w:szCs w:val="20"/>
    </w:rPr>
  </w:style>
  <w:style w:type="character" w:styleId="FootnoteReference">
    <w:name w:val="footnote reference"/>
    <w:basedOn w:val="DefaultParagraphFont"/>
    <w:uiPriority w:val="99"/>
    <w:semiHidden/>
    <w:unhideWhenUsed/>
    <w:rsid w:val="00754C13"/>
    <w:rPr>
      <w:vertAlign w:val="superscript"/>
    </w:rPr>
  </w:style>
  <w:style w:type="table" w:styleId="GridTable4-Accent3">
    <w:name w:val="Grid Table 4 Accent 3"/>
    <w:basedOn w:val="TableNormal"/>
    <w:uiPriority w:val="49"/>
    <w:rsid w:val="00232D3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mmentReference">
    <w:name w:val="annotation reference"/>
    <w:basedOn w:val="DefaultParagraphFont"/>
    <w:uiPriority w:val="99"/>
    <w:semiHidden/>
    <w:unhideWhenUsed/>
    <w:rsid w:val="007A31AC"/>
    <w:rPr>
      <w:sz w:val="16"/>
      <w:szCs w:val="16"/>
    </w:rPr>
  </w:style>
  <w:style w:type="paragraph" w:styleId="CommentText">
    <w:name w:val="annotation text"/>
    <w:basedOn w:val="Normal"/>
    <w:link w:val="CommentTextChar"/>
    <w:uiPriority w:val="99"/>
    <w:unhideWhenUsed/>
    <w:rsid w:val="007A31AC"/>
    <w:pPr>
      <w:spacing w:line="240" w:lineRule="auto"/>
    </w:pPr>
    <w:rPr>
      <w:sz w:val="20"/>
      <w:szCs w:val="20"/>
    </w:rPr>
  </w:style>
  <w:style w:type="character" w:customStyle="1" w:styleId="CommentTextChar">
    <w:name w:val="Comment Text Char"/>
    <w:basedOn w:val="DefaultParagraphFont"/>
    <w:link w:val="CommentText"/>
    <w:uiPriority w:val="99"/>
    <w:rsid w:val="007A31AC"/>
    <w:rPr>
      <w:sz w:val="20"/>
      <w:szCs w:val="20"/>
    </w:rPr>
  </w:style>
  <w:style w:type="paragraph" w:styleId="CommentSubject">
    <w:name w:val="annotation subject"/>
    <w:basedOn w:val="CommentText"/>
    <w:next w:val="CommentText"/>
    <w:link w:val="CommentSubjectChar"/>
    <w:uiPriority w:val="99"/>
    <w:semiHidden/>
    <w:unhideWhenUsed/>
    <w:rsid w:val="007A31AC"/>
    <w:rPr>
      <w:b/>
      <w:bCs/>
    </w:rPr>
  </w:style>
  <w:style w:type="character" w:customStyle="1" w:styleId="CommentSubjectChar">
    <w:name w:val="Comment Subject Char"/>
    <w:basedOn w:val="CommentTextChar"/>
    <w:link w:val="CommentSubject"/>
    <w:uiPriority w:val="99"/>
    <w:semiHidden/>
    <w:rsid w:val="007A31AC"/>
    <w:rPr>
      <w:b/>
      <w:bCs/>
      <w:sz w:val="20"/>
      <w:szCs w:val="20"/>
    </w:rPr>
  </w:style>
  <w:style w:type="paragraph" w:styleId="Revision">
    <w:name w:val="Revision"/>
    <w:hidden/>
    <w:uiPriority w:val="99"/>
    <w:semiHidden/>
    <w:rsid w:val="00E73878"/>
    <w:pPr>
      <w:spacing w:after="0" w:line="240" w:lineRule="auto"/>
    </w:pPr>
  </w:style>
  <w:style w:type="paragraph" w:styleId="NormalWeb">
    <w:name w:val="Normal (Web)"/>
    <w:basedOn w:val="Normal"/>
    <w:uiPriority w:val="99"/>
    <w:semiHidden/>
    <w:unhideWhenUsed/>
    <w:rsid w:val="00DB6A87"/>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Emphasis">
    <w:name w:val="Emphasis"/>
    <w:basedOn w:val="DefaultParagraphFont"/>
    <w:uiPriority w:val="20"/>
    <w:qFormat/>
    <w:rsid w:val="00DB6A87"/>
    <w:rPr>
      <w:i/>
      <w:iCs/>
    </w:rPr>
  </w:style>
  <w:style w:type="character" w:customStyle="1" w:styleId="UnresolvedMention1">
    <w:name w:val="Unresolved Mention1"/>
    <w:basedOn w:val="DefaultParagraphFont"/>
    <w:uiPriority w:val="99"/>
    <w:semiHidden/>
    <w:unhideWhenUsed/>
    <w:rsid w:val="00254D5F"/>
    <w:rPr>
      <w:color w:val="605E5C"/>
      <w:shd w:val="clear" w:color="auto" w:fill="E1DFDD"/>
    </w:rPr>
  </w:style>
  <w:style w:type="character" w:styleId="FollowedHyperlink">
    <w:name w:val="FollowedHyperlink"/>
    <w:basedOn w:val="DefaultParagraphFont"/>
    <w:uiPriority w:val="99"/>
    <w:semiHidden/>
    <w:unhideWhenUsed/>
    <w:rsid w:val="00E16A6D"/>
    <w:rPr>
      <w:color w:val="954F72" w:themeColor="followedHyperlink"/>
      <w:u w:val="single"/>
    </w:rPr>
  </w:style>
  <w:style w:type="table" w:styleId="GridTable4-Accent2">
    <w:name w:val="Grid Table 4 Accent 2"/>
    <w:basedOn w:val="TableNormal"/>
    <w:uiPriority w:val="49"/>
    <w:rsid w:val="00DE511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NoSpacing">
    <w:name w:val="No Spacing"/>
    <w:uiPriority w:val="1"/>
    <w:qFormat/>
    <w:rsid w:val="00786785"/>
    <w:pPr>
      <w:spacing w:after="0" w:line="240" w:lineRule="auto"/>
    </w:pPr>
    <w:rPr>
      <w:rFonts w:asciiTheme="minorHAnsi" w:hAnsiTheme="minorHAnsi"/>
    </w:rPr>
  </w:style>
  <w:style w:type="table" w:styleId="GridTable1Light">
    <w:name w:val="Grid Table 1 Light"/>
    <w:basedOn w:val="TableNormal"/>
    <w:uiPriority w:val="46"/>
    <w:rsid w:val="005C67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671796">
      <w:bodyDiv w:val="1"/>
      <w:marLeft w:val="0"/>
      <w:marRight w:val="0"/>
      <w:marTop w:val="0"/>
      <w:marBottom w:val="0"/>
      <w:divBdr>
        <w:top w:val="none" w:sz="0" w:space="0" w:color="auto"/>
        <w:left w:val="none" w:sz="0" w:space="0" w:color="auto"/>
        <w:bottom w:val="none" w:sz="0" w:space="0" w:color="auto"/>
        <w:right w:val="none" w:sz="0" w:space="0" w:color="auto"/>
      </w:divBdr>
    </w:div>
    <w:div w:id="367684555">
      <w:bodyDiv w:val="1"/>
      <w:marLeft w:val="0"/>
      <w:marRight w:val="0"/>
      <w:marTop w:val="0"/>
      <w:marBottom w:val="0"/>
      <w:divBdr>
        <w:top w:val="none" w:sz="0" w:space="0" w:color="auto"/>
        <w:left w:val="none" w:sz="0" w:space="0" w:color="auto"/>
        <w:bottom w:val="none" w:sz="0" w:space="0" w:color="auto"/>
        <w:right w:val="none" w:sz="0" w:space="0" w:color="auto"/>
      </w:divBdr>
    </w:div>
    <w:div w:id="631062722">
      <w:bodyDiv w:val="1"/>
      <w:marLeft w:val="0"/>
      <w:marRight w:val="0"/>
      <w:marTop w:val="0"/>
      <w:marBottom w:val="0"/>
      <w:divBdr>
        <w:top w:val="none" w:sz="0" w:space="0" w:color="auto"/>
        <w:left w:val="none" w:sz="0" w:space="0" w:color="auto"/>
        <w:bottom w:val="none" w:sz="0" w:space="0" w:color="auto"/>
        <w:right w:val="none" w:sz="0" w:space="0" w:color="auto"/>
      </w:divBdr>
    </w:div>
    <w:div w:id="940337845">
      <w:bodyDiv w:val="1"/>
      <w:marLeft w:val="0"/>
      <w:marRight w:val="0"/>
      <w:marTop w:val="0"/>
      <w:marBottom w:val="0"/>
      <w:divBdr>
        <w:top w:val="none" w:sz="0" w:space="0" w:color="auto"/>
        <w:left w:val="none" w:sz="0" w:space="0" w:color="auto"/>
        <w:bottom w:val="none" w:sz="0" w:space="0" w:color="auto"/>
        <w:right w:val="none" w:sz="0" w:space="0" w:color="auto"/>
      </w:divBdr>
    </w:div>
    <w:div w:id="1237279044">
      <w:bodyDiv w:val="1"/>
      <w:marLeft w:val="0"/>
      <w:marRight w:val="0"/>
      <w:marTop w:val="0"/>
      <w:marBottom w:val="0"/>
      <w:divBdr>
        <w:top w:val="none" w:sz="0" w:space="0" w:color="auto"/>
        <w:left w:val="none" w:sz="0" w:space="0" w:color="auto"/>
        <w:bottom w:val="none" w:sz="0" w:space="0" w:color="auto"/>
        <w:right w:val="none" w:sz="0" w:space="0" w:color="auto"/>
      </w:divBdr>
    </w:div>
    <w:div w:id="1612473758">
      <w:bodyDiv w:val="1"/>
      <w:marLeft w:val="0"/>
      <w:marRight w:val="0"/>
      <w:marTop w:val="0"/>
      <w:marBottom w:val="0"/>
      <w:divBdr>
        <w:top w:val="none" w:sz="0" w:space="0" w:color="auto"/>
        <w:left w:val="none" w:sz="0" w:space="0" w:color="auto"/>
        <w:bottom w:val="none" w:sz="0" w:space="0" w:color="auto"/>
        <w:right w:val="none" w:sz="0" w:space="0" w:color="auto"/>
      </w:divBdr>
    </w:div>
    <w:div w:id="210968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4.xml"/><Relationship Id="rId21" Type="http://schemas.openxmlformats.org/officeDocument/2006/relationships/chart" Target="charts/chart9.xml"/><Relationship Id="rId34" Type="http://schemas.openxmlformats.org/officeDocument/2006/relationships/hyperlink" Target="https://www.transport.govt.nz/mot-resources/household-travel-survey/" TargetMode="External"/><Relationship Id="rId42" Type="http://schemas.openxmlformats.org/officeDocument/2006/relationships/chart" Target="charts/chart27.xml"/><Relationship Id="rId47" Type="http://schemas.openxmlformats.org/officeDocument/2006/relationships/hyperlink" Target="https://www.nzta.govt.nz/resources/total-mobility-scheme/total-mobility.html" TargetMode="External"/><Relationship Id="rId50" Type="http://schemas.openxmlformats.org/officeDocument/2006/relationships/chart" Target="charts/chart33.xml"/><Relationship Id="rId55" Type="http://schemas.openxmlformats.org/officeDocument/2006/relationships/chart" Target="charts/chart38.xml"/><Relationship Id="rId63" Type="http://schemas.openxmlformats.org/officeDocument/2006/relationships/hyperlink" Target="https://www.nzta.govt.nz/planning-and-investment/funding-and-investing/investment-decisions/delegated-decision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4.xml"/><Relationship Id="rId29" Type="http://schemas.openxmlformats.org/officeDocument/2006/relationships/chart" Target="charts/chart16.xml"/><Relationship Id="rId11" Type="http://schemas.openxmlformats.org/officeDocument/2006/relationships/hyperlink" Target="https://www.transport.govt.nz/area-of-interest/strategy-and-direction/government-policy-statement-on-land-transport-2018/" TargetMode="External"/><Relationship Id="rId24" Type="http://schemas.openxmlformats.org/officeDocument/2006/relationships/chart" Target="charts/chart12.xml"/><Relationship Id="rId32" Type="http://schemas.openxmlformats.org/officeDocument/2006/relationships/chart" Target="charts/chart19.xml"/><Relationship Id="rId37" Type="http://schemas.openxmlformats.org/officeDocument/2006/relationships/chart" Target="charts/chart22.xml"/><Relationship Id="rId40" Type="http://schemas.openxmlformats.org/officeDocument/2006/relationships/chart" Target="charts/chart25.xml"/><Relationship Id="rId45" Type="http://schemas.openxmlformats.org/officeDocument/2006/relationships/chart" Target="charts/chart30.xml"/><Relationship Id="rId53" Type="http://schemas.openxmlformats.org/officeDocument/2006/relationships/chart" Target="charts/chart36.xml"/><Relationship Id="rId58" Type="http://schemas.openxmlformats.org/officeDocument/2006/relationships/chart" Target="charts/chart41.xm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chart" Target="charts/chart44.xml"/><Relationship Id="rId19" Type="http://schemas.openxmlformats.org/officeDocument/2006/relationships/chart" Target="charts/chart7.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hyperlink" Target="https://www.nzta.govt.nz/resources/public-attitudes-to-road-safety/" TargetMode="External"/><Relationship Id="rId30" Type="http://schemas.openxmlformats.org/officeDocument/2006/relationships/chart" Target="charts/chart17.xml"/><Relationship Id="rId35" Type="http://schemas.openxmlformats.org/officeDocument/2006/relationships/hyperlink" Target="https://www.transport.govt.nz/mot-resources/household-travel-survey/" TargetMode="External"/><Relationship Id="rId43" Type="http://schemas.openxmlformats.org/officeDocument/2006/relationships/chart" Target="charts/chart28.xml"/><Relationship Id="rId48" Type="http://schemas.openxmlformats.org/officeDocument/2006/relationships/chart" Target="charts/chart31.xml"/><Relationship Id="rId56" Type="http://schemas.openxmlformats.org/officeDocument/2006/relationships/chart" Target="charts/chart39.xml"/><Relationship Id="rId64" Type="http://schemas.openxmlformats.org/officeDocument/2006/relationships/hyperlink" Target="https://www.nzta.govt.nz/planning-and-investment/planning-and-investment-knowledge-base/monitoring-and-reporting-on-investments/benefit-realisation-reviews/" TargetMode="External"/><Relationship Id="rId8" Type="http://schemas.openxmlformats.org/officeDocument/2006/relationships/image" Target="media/image1.png"/><Relationship Id="rId51" Type="http://schemas.openxmlformats.org/officeDocument/2006/relationships/chart" Target="charts/chart34.xml"/><Relationship Id="rId3" Type="http://schemas.openxmlformats.org/officeDocument/2006/relationships/styles" Target="styles.xml"/><Relationship Id="rId12" Type="http://schemas.openxmlformats.org/officeDocument/2006/relationships/hyperlink" Target="https://www.transport.govt.nz/area-of-interest/safety/road-to-zero/" TargetMode="Externa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0.xml"/><Relationship Id="rId38" Type="http://schemas.openxmlformats.org/officeDocument/2006/relationships/chart" Target="charts/chart23.xml"/><Relationship Id="rId46" Type="http://schemas.openxmlformats.org/officeDocument/2006/relationships/hyperlink" Target="https://www.nzta.govt.nz/resources/total-mobility-scheme/total-mobility.html" TargetMode="External"/><Relationship Id="rId59" Type="http://schemas.openxmlformats.org/officeDocument/2006/relationships/chart" Target="charts/chart42.xml"/><Relationship Id="rId67" Type="http://schemas.openxmlformats.org/officeDocument/2006/relationships/theme" Target="theme/theme1.xml"/><Relationship Id="rId20" Type="http://schemas.openxmlformats.org/officeDocument/2006/relationships/chart" Target="charts/chart8.xml"/><Relationship Id="rId41" Type="http://schemas.openxmlformats.org/officeDocument/2006/relationships/chart" Target="charts/chart26.xml"/><Relationship Id="rId54" Type="http://schemas.openxmlformats.org/officeDocument/2006/relationships/chart" Target="charts/chart37.xml"/><Relationship Id="rId62" Type="http://schemas.openxmlformats.org/officeDocument/2006/relationships/chart" Target="charts/chart4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5.xml"/><Relationship Id="rId36" Type="http://schemas.openxmlformats.org/officeDocument/2006/relationships/chart" Target="charts/chart21.xml"/><Relationship Id="rId49" Type="http://schemas.openxmlformats.org/officeDocument/2006/relationships/chart" Target="charts/chart32.xml"/><Relationship Id="rId57" Type="http://schemas.openxmlformats.org/officeDocument/2006/relationships/chart" Target="charts/chart40.xml"/><Relationship Id="rId10" Type="http://schemas.openxmlformats.org/officeDocument/2006/relationships/image" Target="media/image3.jpeg"/><Relationship Id="rId31" Type="http://schemas.openxmlformats.org/officeDocument/2006/relationships/chart" Target="charts/chart18.xml"/><Relationship Id="rId44" Type="http://schemas.openxmlformats.org/officeDocument/2006/relationships/chart" Target="charts/chart29.xml"/><Relationship Id="rId52" Type="http://schemas.openxmlformats.org/officeDocument/2006/relationships/chart" Target="charts/chart35.xml"/><Relationship Id="rId60" Type="http://schemas.openxmlformats.org/officeDocument/2006/relationships/chart" Target="charts/chart43.xm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chart" Target="charts/chart1.xml"/><Relationship Id="rId18" Type="http://schemas.openxmlformats.org/officeDocument/2006/relationships/chart" Target="charts/chart6.xml"/><Relationship Id="rId39" Type="http://schemas.openxmlformats.org/officeDocument/2006/relationships/chart" Target="charts/chart24.xml"/></Relationships>
</file>

<file path=word/_rels/footnotes.xml.rels><?xml version="1.0" encoding="UTF-8" standalone="yes"?>
<Relationships xmlns="http://schemas.openxmlformats.org/package/2006/relationships"><Relationship Id="rId3" Type="http://schemas.openxmlformats.org/officeDocument/2006/relationships/hyperlink" Target="https://www.transport.govt.nz//assets/Uploads/Report/SocialCostof-RoadCrashesandInjuries2019.pdf" TargetMode="External"/><Relationship Id="rId2" Type="http://schemas.openxmlformats.org/officeDocument/2006/relationships/hyperlink" Target="https://www.majortrauma.nz/assets/Publication-Resources/Annual-reports/Annual-Report-2017-18.pdf" TargetMode="External"/><Relationship Id="rId1" Type="http://schemas.openxmlformats.org/officeDocument/2006/relationships/hyperlink" Target="https://www.transport.govt.nz/statistics-and-insights/safety-annual-statistics/sheet/road-deaths-and-injuries" TargetMode="External"/><Relationship Id="rId6" Type="http://schemas.openxmlformats.org/officeDocument/2006/relationships/hyperlink" Target="https://www.nzta.govt.nz/planning-and-investment/planning-and-investment-knowledge-base/2018-21-nltp-investment-assessment-framework-iaf/prioritisation-of-activities/" TargetMode="External"/><Relationship Id="rId5" Type="http://schemas.openxmlformats.org/officeDocument/2006/relationships/hyperlink" Target="https://www.transport.govt.nz/mot-resources/household-travel-survey/new-results/glossary/" TargetMode="External"/><Relationship Id="rId4" Type="http://schemas.openxmlformats.org/officeDocument/2006/relationships/hyperlink" Target="https://www.itf-oecd.org/sites/default/files/docs/irtad-road-safety-annual-report-2020_0.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tardis.transport.govt.nz/otcsdav/nodes/66188810/safety%20gps%20graph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tardis.transport.govt.nz/otcsdav/nodes/66188810/safety%20gps%20graph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tardis.transport.govt.nz/otcsdav/nodes/66188810/safety%20gps%20graph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tardis.transport.govt.nz/otcsdav/nodes/66188810/safety%20gps%20graph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https://tardis.transport.govt.nz/otcsdav/nodes/66188810/safety%20gps%20graphs.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tardis.transport.govt.nz/otcsdav/nodes/66188810/safety%20gps%20graphs.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https://tardis.transport.govt.nz/otcsdav/nodes/66188810/Access%20GPS%20annual%20reporting.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https://tardis.transport.govt.nz/otcsdav/nodes/66188810/Access%20GPS%20annual%20reporting.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https://tardis.transport.govt.nz/otcsdav/nodes/66188810/working%20doc%20graphs.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https://tardis.transport.govt.nz/otcsdav/nodes/66188810/working%20doc%20graphs.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https://tardis.transport.govt.nz/otcsdav/nodes/66188810/TOF_GPS%20HTS%20indicators%20(1).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https://tardis.transport.govt.nz/otcsdav/nodes/66188810/safety%20gps%20graphs.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https://tardis.transport.govt.nz/otcsdav/nodes/66188810/TOF_GPS%20HTS%20indicators%20(1).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https://tardis.transport.govt.nz/otcsdav/nodes/66188810/safety%20gps%20graphs.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https://tardis.transport.govt.nz/otcsdav/nodes/66188810/Access%20GPS%20annual%20reporting.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https://tardis.transport.govt.nz/otcsdav/nodes/66188810/Access%20GPS%20annual%20reporting.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https://tardis.transport.govt.nz/otcsdav/nodes/66188810/Access%20GPS%20annual%20reporting.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https://tardis.transport.govt.nz/otcsdav/nodes/66188810/Access%20GPS%20annual%20reporting.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https://tardis.transport.govt.nz/otcsdav/nodes/66188810/Access%20GPS%20annual%20reporting.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https://tardis.transport.govt.nz/otcsdav/nodes/66188810/Access%20GPS%20annual%20reporting.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https://tardis.transport.govt.nz/otcsdav/nodes/66188810/Access%20GPS%20annual%20reporting.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https://tardis.transport.govt.nz/otcsdav/nodes/66188810/Access%20GPS%20annual%20reporting.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https://tardis.transport.govt.nz/otcsdav/nodes/66188810/safety%20gps%20graphs.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https://tardis.transport.govt.nz/otcsdav/nodes/66188810/Access%20GPS%20annual%20reporting.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https://tardis.transport.govt.nz/otcsdav/nodes/66188810/working%20doc%20graphs.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https://tardis.transport.govt.nz/otcsdav/nodes/66188810/Access%20GPS%20annual%20reporting.xlsx"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https://tardis.transport.govt.nz/otcsdav/nodes/66188810/working%20doc%20graphs.xlsx"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https://tardis.transport.govt.nz/otcsdav/nodes/66188810/Access%20GPS%20annual%20reporting.xlsx" TargetMode="External"/><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oleObject" Target="https://tardis.transport.govt.nz/otcsdav/nodes/66188810/working%20doc%20graphs.xlsx" TargetMode="External"/><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oleObject" Target="https://tardis.transport.govt.nz/otcsdav/nodes/66188810/working%20doc%20graphs.xlsx" TargetMode="External"/><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oleObject" Target="https://tardis.transport.govt.nz/otcsdav/nodes/66188810/Access%20GPS%20annual%20reporting.xlsx" TargetMode="External"/><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oleObject" Target="https://tardis.transport.govt.nz/otcsdav/nodes/66188810/working%20doc%20graphs.xlsx" TargetMode="External"/><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oleObject" Target="https://tardis.transport.govt.nz/otcsdav/nodes/66188810/working%20doc%20graphs.xlsx" TargetMode="External"/><Relationship Id="rId2" Type="http://schemas.microsoft.com/office/2011/relationships/chartColorStyle" Target="colors39.xml"/><Relationship Id="rId1" Type="http://schemas.microsoft.com/office/2011/relationships/chartStyle" Target="style39.xml"/></Relationships>
</file>

<file path=word/charts/_rels/chart4.xml.rels><?xml version="1.0" encoding="UTF-8" standalone="yes"?>
<Relationships xmlns="http://schemas.openxmlformats.org/package/2006/relationships"><Relationship Id="rId3" Type="http://schemas.openxmlformats.org/officeDocument/2006/relationships/oleObject" Target="https://tardis.transport.govt.nz/otcsdav/nodes/66188810/working%20doc%20graphs.xlsx"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oleObject" Target="https://tardis.transport.govt.nz/otcsdav/nodes/66188810/Access%20GPS%20annual%20reporting.xlsx" TargetMode="External"/><Relationship Id="rId2" Type="http://schemas.microsoft.com/office/2011/relationships/chartColorStyle" Target="colors40.xml"/><Relationship Id="rId1" Type="http://schemas.microsoft.com/office/2011/relationships/chartStyle" Target="style40.xml"/></Relationships>
</file>

<file path=word/charts/_rels/chart41.xml.rels><?xml version="1.0" encoding="UTF-8" standalone="yes"?>
<Relationships xmlns="http://schemas.openxmlformats.org/package/2006/relationships"><Relationship Id="rId3" Type="http://schemas.openxmlformats.org/officeDocument/2006/relationships/oleObject" Target="https://tardis.transport.govt.nz/otcsdav/nodes/66188810/Access%20GPS%20annual%20reporting.xlsx" TargetMode="External"/><Relationship Id="rId2" Type="http://schemas.microsoft.com/office/2011/relationships/chartColorStyle" Target="colors41.xml"/><Relationship Id="rId1" Type="http://schemas.microsoft.com/office/2011/relationships/chartStyle" Target="style41.xml"/></Relationships>
</file>

<file path=word/charts/_rels/chart42.xml.rels><?xml version="1.0" encoding="UTF-8" standalone="yes"?>
<Relationships xmlns="http://schemas.openxmlformats.org/package/2006/relationships"><Relationship Id="rId3" Type="http://schemas.openxmlformats.org/officeDocument/2006/relationships/oleObject" Target="https://tardis.transport.govt.nz/otcsdav/nodes/66188810/working%20doc%20graphs.xlsx" TargetMode="External"/><Relationship Id="rId2" Type="http://schemas.microsoft.com/office/2011/relationships/chartColorStyle" Target="colors42.xml"/><Relationship Id="rId1" Type="http://schemas.microsoft.com/office/2011/relationships/chartStyle" Target="style42.xml"/></Relationships>
</file>

<file path=word/charts/_rels/chart43.xml.rels><?xml version="1.0" encoding="UTF-8" standalone="yes"?>
<Relationships xmlns="http://schemas.openxmlformats.org/package/2006/relationships"><Relationship Id="rId3" Type="http://schemas.openxmlformats.org/officeDocument/2006/relationships/oleObject" Target="https://tardis.transport.govt.nz/otcsdav/nodes/66188810/working%20doc%20graphs.xlsx" TargetMode="External"/><Relationship Id="rId2" Type="http://schemas.microsoft.com/office/2011/relationships/chartColorStyle" Target="colors43.xml"/><Relationship Id="rId1" Type="http://schemas.microsoft.com/office/2011/relationships/chartStyle" Target="style43.xml"/></Relationships>
</file>

<file path=word/charts/_rels/chart44.xml.rels><?xml version="1.0" encoding="UTF-8" standalone="yes"?>
<Relationships xmlns="http://schemas.openxmlformats.org/package/2006/relationships"><Relationship Id="rId3" Type="http://schemas.openxmlformats.org/officeDocument/2006/relationships/oleObject" Target="https://tardis.transport.govt.nz/otcsdav/nodes/66188810/working%20doc%20graphs.xlsx" TargetMode="External"/><Relationship Id="rId2" Type="http://schemas.microsoft.com/office/2011/relationships/chartColorStyle" Target="colors44.xml"/><Relationship Id="rId1" Type="http://schemas.microsoft.com/office/2011/relationships/chartStyle" Target="style44.xml"/></Relationships>
</file>

<file path=word/charts/_rels/chart45.xml.rels><?xml version="1.0" encoding="UTF-8" standalone="yes"?>
<Relationships xmlns="http://schemas.openxmlformats.org/package/2006/relationships"><Relationship Id="rId3" Type="http://schemas.openxmlformats.org/officeDocument/2006/relationships/oleObject" Target="https://tardis.transport.govt.nz/otcsdav/nodes/66188810/working%20doc%20graphs.xlsx" TargetMode="External"/><Relationship Id="rId2" Type="http://schemas.microsoft.com/office/2011/relationships/chartColorStyle" Target="colors45.xml"/><Relationship Id="rId1" Type="http://schemas.microsoft.com/office/2011/relationships/chartStyle" Target="style45.xml"/></Relationships>
</file>

<file path=word/charts/_rels/chart5.xml.rels><?xml version="1.0" encoding="UTF-8" standalone="yes"?>
<Relationships xmlns="http://schemas.openxmlformats.org/package/2006/relationships"><Relationship Id="rId3" Type="http://schemas.openxmlformats.org/officeDocument/2006/relationships/oleObject" Target="https://tardis.transport.govt.nz/otcsdav/nodes/66188810/working%20doc%20graph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tardis.transport.govt.nz/otcsdav/nodes/66188810/Book3__________"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tardis.transport.govt.nz/otcsdav/nodes/66188810/Book3%20(version%202).xlsb"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tardis.transport.govt.nz/otcsdav/nodes/66188810/safety%20gps%20graph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tardis.transport.govt.nz/otcsdav/nodes/66188810/safety%20gps%20graph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baseline="0"/>
              <a:t>Road Deaths</a:t>
            </a:r>
            <a:endParaRPr lang="en-N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'Total Road Deaths '!$A$18</c:f>
              <c:strCache>
                <c:ptCount val="1"/>
                <c:pt idx="0">
                  <c:v>National</c:v>
                </c:pt>
              </c:strCache>
            </c:strRef>
          </c:tx>
          <c:spPr>
            <a:ln w="28575" cap="rnd">
              <a:solidFill>
                <a:schemeClr val="accent1"/>
              </a:solidFill>
              <a:round/>
            </a:ln>
            <a:effectLst/>
          </c:spPr>
          <c:marker>
            <c:symbol val="none"/>
          </c:marker>
          <c:dPt>
            <c:idx val="0"/>
            <c:marker>
              <c:symbol val="none"/>
            </c:marker>
            <c:bubble3D val="0"/>
            <c:spPr>
              <a:ln w="28575" cap="rnd">
                <a:solidFill>
                  <a:schemeClr val="accent1"/>
                </a:solidFill>
                <a:round/>
              </a:ln>
              <a:effectLst/>
            </c:spPr>
            <c:extLst>
              <c:ext xmlns:c16="http://schemas.microsoft.com/office/drawing/2014/chart" uri="{C3380CC4-5D6E-409C-BE32-E72D297353CC}">
                <c16:uniqueId val="{00000001-1DA3-4388-A9F9-09717BE94C0D}"/>
              </c:ext>
            </c:extLst>
          </c:dPt>
          <c:dPt>
            <c:idx val="1"/>
            <c:marker>
              <c:symbol val="none"/>
            </c:marker>
            <c:bubble3D val="0"/>
            <c:spPr>
              <a:ln w="28575" cap="rnd">
                <a:solidFill>
                  <a:schemeClr val="accent1"/>
                </a:solidFill>
                <a:round/>
              </a:ln>
              <a:effectLst/>
            </c:spPr>
            <c:extLst>
              <c:ext xmlns:c16="http://schemas.microsoft.com/office/drawing/2014/chart" uri="{C3380CC4-5D6E-409C-BE32-E72D297353CC}">
                <c16:uniqueId val="{00000003-1DA3-4388-A9F9-09717BE94C0D}"/>
              </c:ext>
            </c:extLst>
          </c:dPt>
          <c:dPt>
            <c:idx val="2"/>
            <c:marker>
              <c:symbol val="none"/>
            </c:marker>
            <c:bubble3D val="0"/>
            <c:spPr>
              <a:ln w="28575" cap="rnd">
                <a:solidFill>
                  <a:schemeClr val="accent1"/>
                </a:solidFill>
                <a:round/>
              </a:ln>
              <a:effectLst/>
            </c:spPr>
            <c:extLst>
              <c:ext xmlns:c16="http://schemas.microsoft.com/office/drawing/2014/chart" uri="{C3380CC4-5D6E-409C-BE32-E72D297353CC}">
                <c16:uniqueId val="{00000005-1DA3-4388-A9F9-09717BE94C0D}"/>
              </c:ext>
            </c:extLst>
          </c:dPt>
          <c:dPt>
            <c:idx val="3"/>
            <c:marker>
              <c:symbol val="none"/>
            </c:marker>
            <c:bubble3D val="0"/>
            <c:spPr>
              <a:ln w="28575" cap="rnd">
                <a:solidFill>
                  <a:schemeClr val="accent1"/>
                </a:solidFill>
                <a:round/>
              </a:ln>
              <a:effectLst/>
            </c:spPr>
            <c:extLst>
              <c:ext xmlns:c16="http://schemas.microsoft.com/office/drawing/2014/chart" uri="{C3380CC4-5D6E-409C-BE32-E72D297353CC}">
                <c16:uniqueId val="{00000007-1DA3-4388-A9F9-09717BE94C0D}"/>
              </c:ext>
            </c:extLst>
          </c:dPt>
          <c:dPt>
            <c:idx val="4"/>
            <c:marker>
              <c:symbol val="none"/>
            </c:marker>
            <c:bubble3D val="0"/>
            <c:spPr>
              <a:ln w="28575" cap="rnd">
                <a:solidFill>
                  <a:schemeClr val="accent1"/>
                </a:solidFill>
                <a:round/>
              </a:ln>
              <a:effectLst/>
            </c:spPr>
            <c:extLst>
              <c:ext xmlns:c16="http://schemas.microsoft.com/office/drawing/2014/chart" uri="{C3380CC4-5D6E-409C-BE32-E72D297353CC}">
                <c16:uniqueId val="{00000009-1DA3-4388-A9F9-09717BE94C0D}"/>
              </c:ext>
            </c:extLst>
          </c:dPt>
          <c:cat>
            <c:strRef>
              <c:f>'Total Road Deaths '!$B$1:$F$1</c:f>
              <c:strCache>
                <c:ptCount val="5"/>
                <c:pt idx="0">
                  <c:v>2015/16</c:v>
                </c:pt>
                <c:pt idx="1">
                  <c:v>2016/17</c:v>
                </c:pt>
                <c:pt idx="2">
                  <c:v>2017/18</c:v>
                </c:pt>
                <c:pt idx="3">
                  <c:v>2018/19</c:v>
                </c:pt>
                <c:pt idx="4">
                  <c:v>2019/20</c:v>
                </c:pt>
              </c:strCache>
            </c:strRef>
          </c:cat>
          <c:val>
            <c:numRef>
              <c:f>'Total Road Deaths '!$B$18:$F$18</c:f>
              <c:numCache>
                <c:formatCode>General</c:formatCode>
                <c:ptCount val="5"/>
                <c:pt idx="0">
                  <c:v>327</c:v>
                </c:pt>
                <c:pt idx="1">
                  <c:v>343</c:v>
                </c:pt>
                <c:pt idx="2">
                  <c:v>391</c:v>
                </c:pt>
                <c:pt idx="3">
                  <c:v>372</c:v>
                </c:pt>
                <c:pt idx="4">
                  <c:v>293</c:v>
                </c:pt>
              </c:numCache>
            </c:numRef>
          </c:val>
          <c:smooth val="0"/>
          <c:extLst>
            <c:ext xmlns:c16="http://schemas.microsoft.com/office/drawing/2014/chart" uri="{C3380CC4-5D6E-409C-BE32-E72D297353CC}">
              <c16:uniqueId val="{0000000A-1DA3-4388-A9F9-09717BE94C0D}"/>
            </c:ext>
          </c:extLst>
        </c:ser>
        <c:dLbls>
          <c:showLegendKey val="0"/>
          <c:showVal val="0"/>
          <c:showCatName val="0"/>
          <c:showSerName val="0"/>
          <c:showPercent val="0"/>
          <c:showBubbleSize val="0"/>
        </c:dLbls>
        <c:smooth val="0"/>
        <c:axId val="757390319"/>
        <c:axId val="766015903"/>
      </c:lineChart>
      <c:catAx>
        <c:axId val="7573903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6015903"/>
        <c:crosses val="autoZero"/>
        <c:auto val="1"/>
        <c:lblAlgn val="ctr"/>
        <c:lblOffset val="100"/>
        <c:noMultiLvlLbl val="0"/>
      </c:catAx>
      <c:valAx>
        <c:axId val="7660159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739031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'public attitudes towards safety'!$A$2</c:f>
              <c:strCache>
                <c:ptCount val="1"/>
                <c:pt idx="0">
                  <c:v>Agree that “anything over the speed limit is speeding”</c:v>
                </c:pt>
              </c:strCache>
            </c:strRef>
          </c:tx>
          <c:spPr>
            <a:solidFill>
              <a:schemeClr val="accent1"/>
            </a:solidFill>
            <a:ln>
              <a:noFill/>
            </a:ln>
            <a:effectLst/>
          </c:spPr>
          <c:invertIfNegative val="0"/>
          <c:dPt>
            <c:idx val="0"/>
            <c:invertIfNegative val="0"/>
            <c:bubble3D val="0"/>
            <c:spPr>
              <a:solidFill>
                <a:srgbClr val="3BA933"/>
              </a:solidFill>
              <a:ln>
                <a:noFill/>
              </a:ln>
              <a:effectLst/>
            </c:spPr>
            <c:extLst>
              <c:ext xmlns:c16="http://schemas.microsoft.com/office/drawing/2014/chart" uri="{C3380CC4-5D6E-409C-BE32-E72D297353CC}">
                <c16:uniqueId val="{00000001-637C-4C91-A672-831A2692B50E}"/>
              </c:ext>
            </c:extLst>
          </c:dPt>
          <c:dPt>
            <c:idx val="1"/>
            <c:invertIfNegative val="0"/>
            <c:bubble3D val="0"/>
            <c:spPr>
              <a:solidFill>
                <a:srgbClr val="00A9EF"/>
              </a:solidFill>
              <a:ln>
                <a:noFill/>
              </a:ln>
              <a:effectLst/>
            </c:spPr>
            <c:extLst>
              <c:ext xmlns:c16="http://schemas.microsoft.com/office/drawing/2014/chart" uri="{C3380CC4-5D6E-409C-BE32-E72D297353CC}">
                <c16:uniqueId val="{00000003-637C-4C91-A672-831A2692B50E}"/>
              </c:ext>
            </c:extLst>
          </c:dPt>
          <c:cat>
            <c:strRef>
              <c:f>'public attitudes towards safety'!$B$1:$C$1</c:f>
              <c:strCache>
                <c:ptCount val="2"/>
                <c:pt idx="0">
                  <c:v>2018/19</c:v>
                </c:pt>
                <c:pt idx="1">
                  <c:v>2019/20</c:v>
                </c:pt>
              </c:strCache>
            </c:strRef>
          </c:cat>
          <c:val>
            <c:numRef>
              <c:f>'public attitudes towards safety'!$B$2:$C$2</c:f>
              <c:numCache>
                <c:formatCode>0%</c:formatCode>
                <c:ptCount val="2"/>
                <c:pt idx="0">
                  <c:v>0.55000000000000004</c:v>
                </c:pt>
                <c:pt idx="1">
                  <c:v>0.51</c:v>
                </c:pt>
              </c:numCache>
            </c:numRef>
          </c:val>
          <c:extLst>
            <c:ext xmlns:c16="http://schemas.microsoft.com/office/drawing/2014/chart" uri="{C3380CC4-5D6E-409C-BE32-E72D297353CC}">
              <c16:uniqueId val="{00000004-637C-4C91-A672-831A2692B50E}"/>
            </c:ext>
          </c:extLst>
        </c:ser>
        <c:dLbls>
          <c:showLegendKey val="0"/>
          <c:showVal val="0"/>
          <c:showCatName val="0"/>
          <c:showSerName val="0"/>
          <c:showPercent val="0"/>
          <c:showBubbleSize val="0"/>
        </c:dLbls>
        <c:gapWidth val="182"/>
        <c:axId val="771221791"/>
        <c:axId val="771222207"/>
      </c:barChart>
      <c:catAx>
        <c:axId val="7712217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1222207"/>
        <c:crosses val="autoZero"/>
        <c:auto val="1"/>
        <c:lblAlgn val="ctr"/>
        <c:lblOffset val="100"/>
        <c:noMultiLvlLbl val="0"/>
      </c:catAx>
      <c:valAx>
        <c:axId val="771222207"/>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122179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Claim to have driven at least once during the past 12 months while slightly intoxicated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'public attitudes towards safety'!$C$1</c:f>
              <c:strCache>
                <c:ptCount val="1"/>
                <c:pt idx="0">
                  <c:v>2019/20</c:v>
                </c:pt>
              </c:strCache>
            </c:strRef>
          </c:tx>
          <c:spPr>
            <a:solidFill>
              <a:srgbClr val="00A9EF"/>
            </a:solidFill>
            <a:ln>
              <a:noFill/>
            </a:ln>
            <a:effectLst/>
          </c:spPr>
          <c:invertIfNegative val="0"/>
          <c:val>
            <c:numRef>
              <c:f>'public attitudes towards safety'!$C$6</c:f>
              <c:numCache>
                <c:formatCode>0%</c:formatCode>
                <c:ptCount val="1"/>
                <c:pt idx="0">
                  <c:v>0.12</c:v>
                </c:pt>
              </c:numCache>
            </c:numRef>
          </c:val>
          <c:extLst>
            <c:ext xmlns:c16="http://schemas.microsoft.com/office/drawing/2014/chart" uri="{C3380CC4-5D6E-409C-BE32-E72D297353CC}">
              <c16:uniqueId val="{00000000-11B3-4630-B918-79ED2DAF6BAA}"/>
            </c:ext>
          </c:extLst>
        </c:ser>
        <c:dLbls>
          <c:showLegendKey val="0"/>
          <c:showVal val="0"/>
          <c:showCatName val="0"/>
          <c:showSerName val="0"/>
          <c:showPercent val="0"/>
          <c:showBubbleSize val="0"/>
        </c:dLbls>
        <c:gapWidth val="182"/>
        <c:axId val="870805631"/>
        <c:axId val="323335007"/>
      </c:barChart>
      <c:catAx>
        <c:axId val="870805631"/>
        <c:scaling>
          <c:orientation val="minMax"/>
        </c:scaling>
        <c:delete val="1"/>
        <c:axPos val="l"/>
        <c:numFmt formatCode="General" sourceLinked="1"/>
        <c:majorTickMark val="none"/>
        <c:minorTickMark val="none"/>
        <c:tickLblPos val="nextTo"/>
        <c:crossAx val="323335007"/>
        <c:crosses val="autoZero"/>
        <c:auto val="1"/>
        <c:lblAlgn val="ctr"/>
        <c:lblOffset val="100"/>
        <c:noMultiLvlLbl val="0"/>
      </c:catAx>
      <c:valAx>
        <c:axId val="32333500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2019/20</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08056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'public attitudes towards safety'!$A$3</c:f>
              <c:strCache>
                <c:ptCount val="1"/>
                <c:pt idx="0">
                  <c:v>Say they would pull over and have a short nap when drowsy</c:v>
                </c:pt>
              </c:strCache>
            </c:strRef>
          </c:tx>
          <c:spPr>
            <a:solidFill>
              <a:srgbClr val="00A9EF"/>
            </a:solidFill>
            <a:ln>
              <a:noFill/>
            </a:ln>
            <a:effectLst/>
          </c:spPr>
          <c:invertIfNegative val="0"/>
          <c:dPt>
            <c:idx val="0"/>
            <c:invertIfNegative val="0"/>
            <c:bubble3D val="0"/>
            <c:spPr>
              <a:solidFill>
                <a:srgbClr val="3BA933"/>
              </a:solidFill>
              <a:ln>
                <a:noFill/>
              </a:ln>
              <a:effectLst/>
            </c:spPr>
            <c:extLst>
              <c:ext xmlns:c16="http://schemas.microsoft.com/office/drawing/2014/chart" uri="{C3380CC4-5D6E-409C-BE32-E72D297353CC}">
                <c16:uniqueId val="{00000001-2FB2-4301-B869-9B4DD7BFF90F}"/>
              </c:ext>
            </c:extLst>
          </c:dPt>
          <c:cat>
            <c:strRef>
              <c:f>'public attitudes towards safety'!$B$1:$C$1</c:f>
              <c:strCache>
                <c:ptCount val="2"/>
                <c:pt idx="0">
                  <c:v>2018/19</c:v>
                </c:pt>
                <c:pt idx="1">
                  <c:v>2019/20</c:v>
                </c:pt>
              </c:strCache>
            </c:strRef>
          </c:cat>
          <c:val>
            <c:numRef>
              <c:f>'public attitudes towards safety'!$B$3:$C$3</c:f>
              <c:numCache>
                <c:formatCode>0%</c:formatCode>
                <c:ptCount val="2"/>
                <c:pt idx="0">
                  <c:v>0.47</c:v>
                </c:pt>
                <c:pt idx="1">
                  <c:v>0.56000000000000005</c:v>
                </c:pt>
              </c:numCache>
            </c:numRef>
          </c:val>
          <c:extLst>
            <c:ext xmlns:c16="http://schemas.microsoft.com/office/drawing/2014/chart" uri="{C3380CC4-5D6E-409C-BE32-E72D297353CC}">
              <c16:uniqueId val="{00000002-2FB2-4301-B869-9B4DD7BFF90F}"/>
            </c:ext>
          </c:extLst>
        </c:ser>
        <c:dLbls>
          <c:showLegendKey val="0"/>
          <c:showVal val="0"/>
          <c:showCatName val="0"/>
          <c:showSerName val="0"/>
          <c:showPercent val="0"/>
          <c:showBubbleSize val="0"/>
        </c:dLbls>
        <c:gapWidth val="182"/>
        <c:axId val="964801583"/>
        <c:axId val="964801999"/>
      </c:barChart>
      <c:catAx>
        <c:axId val="96480158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4801999"/>
        <c:crosses val="autoZero"/>
        <c:auto val="1"/>
        <c:lblAlgn val="ctr"/>
        <c:lblOffset val="100"/>
        <c:noMultiLvlLbl val="0"/>
      </c:catAx>
      <c:valAx>
        <c:axId val="964801999"/>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48015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sz="1400" b="0" i="0" u="none" strike="noStrike" baseline="0">
                <a:effectLst/>
              </a:rPr>
              <a:t>Say in the past month they have used a mobile phone while driving</a:t>
            </a:r>
            <a:r>
              <a:rPr lang="en-NZ" sz="1400" b="0" i="0" u="none" strike="noStrike" baseline="0"/>
              <a:t> </a:t>
            </a:r>
            <a:endParaRPr lang="en-N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rgbClr val="00A9EF"/>
            </a:solidFill>
            <a:ln>
              <a:noFill/>
            </a:ln>
            <a:effectLst/>
          </c:spPr>
          <c:invertIfNegative val="0"/>
          <c:dPt>
            <c:idx val="0"/>
            <c:invertIfNegative val="0"/>
            <c:bubble3D val="0"/>
            <c:spPr>
              <a:solidFill>
                <a:srgbClr val="3BA933"/>
              </a:solidFill>
              <a:ln>
                <a:noFill/>
              </a:ln>
              <a:effectLst/>
            </c:spPr>
            <c:extLst>
              <c:ext xmlns:c16="http://schemas.microsoft.com/office/drawing/2014/chart" uri="{C3380CC4-5D6E-409C-BE32-E72D297353CC}">
                <c16:uniqueId val="{00000001-9E77-4FD0-8F25-53C29DACA50F}"/>
              </c:ext>
            </c:extLst>
          </c:dPt>
          <c:cat>
            <c:strRef>
              <c:f>'public attitudes towards safety'!$B$1:$C$1</c:f>
              <c:strCache>
                <c:ptCount val="2"/>
                <c:pt idx="0">
                  <c:v>2018/19</c:v>
                </c:pt>
                <c:pt idx="1">
                  <c:v>2019/20</c:v>
                </c:pt>
              </c:strCache>
            </c:strRef>
          </c:cat>
          <c:val>
            <c:numRef>
              <c:f>'public attitudes towards safety'!$B$4:$C$4</c:f>
              <c:numCache>
                <c:formatCode>0%</c:formatCode>
                <c:ptCount val="2"/>
                <c:pt idx="0">
                  <c:v>0.35</c:v>
                </c:pt>
                <c:pt idx="1">
                  <c:v>0.16</c:v>
                </c:pt>
              </c:numCache>
            </c:numRef>
          </c:val>
          <c:extLst>
            <c:ext xmlns:c16="http://schemas.microsoft.com/office/drawing/2014/chart" uri="{C3380CC4-5D6E-409C-BE32-E72D297353CC}">
              <c16:uniqueId val="{00000002-9E77-4FD0-8F25-53C29DACA50F}"/>
            </c:ext>
          </c:extLst>
        </c:ser>
        <c:dLbls>
          <c:showLegendKey val="0"/>
          <c:showVal val="0"/>
          <c:showCatName val="0"/>
          <c:showSerName val="0"/>
          <c:showPercent val="0"/>
          <c:showBubbleSize val="0"/>
        </c:dLbls>
        <c:gapWidth val="182"/>
        <c:axId val="771231775"/>
        <c:axId val="771228863"/>
      </c:barChart>
      <c:catAx>
        <c:axId val="77123177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1228863"/>
        <c:crosses val="autoZero"/>
        <c:auto val="1"/>
        <c:lblAlgn val="ctr"/>
        <c:lblOffset val="100"/>
        <c:noMultiLvlLbl val="0"/>
      </c:catAx>
      <c:valAx>
        <c:axId val="77122886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123177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sz="1400" b="0" i="0" u="none" strike="noStrike" baseline="0">
                <a:effectLst/>
              </a:rPr>
              <a:t>Say they have been stopped at a Police checkpoint in the last month</a:t>
            </a:r>
            <a:r>
              <a:rPr lang="en-NZ" sz="1400" b="0" i="0" u="none" strike="noStrike" baseline="0"/>
              <a:t> </a:t>
            </a:r>
            <a:endParaRPr lang="en-N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rgbClr val="00A9EF"/>
            </a:solidFill>
            <a:ln>
              <a:noFill/>
            </a:ln>
            <a:effectLst/>
          </c:spPr>
          <c:invertIfNegative val="0"/>
          <c:dPt>
            <c:idx val="0"/>
            <c:invertIfNegative val="0"/>
            <c:bubble3D val="0"/>
            <c:spPr>
              <a:solidFill>
                <a:srgbClr val="3BA933"/>
              </a:solidFill>
              <a:ln>
                <a:noFill/>
              </a:ln>
              <a:effectLst/>
            </c:spPr>
            <c:extLst>
              <c:ext xmlns:c16="http://schemas.microsoft.com/office/drawing/2014/chart" uri="{C3380CC4-5D6E-409C-BE32-E72D297353CC}">
                <c16:uniqueId val="{00000001-EBAA-4217-B962-81C4097FA4EC}"/>
              </c:ext>
            </c:extLst>
          </c:dPt>
          <c:cat>
            <c:strRef>
              <c:f>'public attitudes towards safety'!$B$1:$C$1</c:f>
              <c:strCache>
                <c:ptCount val="2"/>
                <c:pt idx="0">
                  <c:v>2018/19</c:v>
                </c:pt>
                <c:pt idx="1">
                  <c:v>2019/20</c:v>
                </c:pt>
              </c:strCache>
            </c:strRef>
          </c:cat>
          <c:val>
            <c:numRef>
              <c:f>'public attitudes towards safety'!$B$8:$C$8</c:f>
              <c:numCache>
                <c:formatCode>0%</c:formatCode>
                <c:ptCount val="2"/>
                <c:pt idx="0">
                  <c:v>0.16</c:v>
                </c:pt>
                <c:pt idx="1">
                  <c:v>0.08</c:v>
                </c:pt>
              </c:numCache>
            </c:numRef>
          </c:val>
          <c:extLst>
            <c:ext xmlns:c16="http://schemas.microsoft.com/office/drawing/2014/chart" uri="{C3380CC4-5D6E-409C-BE32-E72D297353CC}">
              <c16:uniqueId val="{00000002-EBAA-4217-B962-81C4097FA4EC}"/>
            </c:ext>
          </c:extLst>
        </c:ser>
        <c:dLbls>
          <c:showLegendKey val="0"/>
          <c:showVal val="0"/>
          <c:showCatName val="0"/>
          <c:showSerName val="0"/>
          <c:showPercent val="0"/>
          <c:showBubbleSize val="0"/>
        </c:dLbls>
        <c:gapWidth val="182"/>
        <c:axId val="966036047"/>
        <c:axId val="966036879"/>
      </c:barChart>
      <c:catAx>
        <c:axId val="96603604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6036879"/>
        <c:crosses val="autoZero"/>
        <c:auto val="1"/>
        <c:lblAlgn val="ctr"/>
        <c:lblOffset val="100"/>
        <c:noMultiLvlLbl val="0"/>
      </c:catAx>
      <c:valAx>
        <c:axId val="966036879"/>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60360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Perceived</a:t>
            </a:r>
            <a:r>
              <a:rPr lang="en-NZ" baseline="0"/>
              <a:t> safety of walking </a:t>
            </a:r>
            <a:endParaRPr lang="en-N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3673590776863364"/>
          <c:y val="0.14856481481481484"/>
          <c:w val="0.52979923841800558"/>
          <c:h val="0.66128062117235342"/>
        </c:manualLayout>
      </c:layout>
      <c:barChart>
        <c:barDir val="bar"/>
        <c:grouping val="clustered"/>
        <c:varyColors val="0"/>
        <c:ser>
          <c:idx val="0"/>
          <c:order val="0"/>
          <c:tx>
            <c:strRef>
              <c:f>'perceieved safety'!$R$17</c:f>
              <c:strCache>
                <c:ptCount val="1"/>
                <c:pt idx="0">
                  <c:v>2018</c:v>
                </c:pt>
              </c:strCache>
            </c:strRef>
          </c:tx>
          <c:spPr>
            <a:solidFill>
              <a:srgbClr val="3BA933"/>
            </a:solidFill>
            <a:ln>
              <a:noFill/>
            </a:ln>
            <a:effectLst/>
          </c:spPr>
          <c:invertIfNegative val="0"/>
          <c:cat>
            <c:strRef>
              <c:f>'perceieved safety'!$Q$18:$Q$20</c:f>
              <c:strCache>
                <c:ptCount val="3"/>
                <c:pt idx="0">
                  <c:v>Don’t feel safe walking in the day</c:v>
                </c:pt>
                <c:pt idx="1">
                  <c:v>Don’t feel safe walking in the dark</c:v>
                </c:pt>
                <c:pt idx="2">
                  <c:v>Don’t feel safe walking because of how people drive</c:v>
                </c:pt>
              </c:strCache>
            </c:strRef>
          </c:cat>
          <c:val>
            <c:numRef>
              <c:f>'perceieved safety'!$R$18:$R$20</c:f>
              <c:numCache>
                <c:formatCode>0%</c:formatCode>
                <c:ptCount val="3"/>
                <c:pt idx="0">
                  <c:v>0.05</c:v>
                </c:pt>
                <c:pt idx="1">
                  <c:v>0.34</c:v>
                </c:pt>
                <c:pt idx="2">
                  <c:v>0.08</c:v>
                </c:pt>
              </c:numCache>
            </c:numRef>
          </c:val>
          <c:extLst>
            <c:ext xmlns:c16="http://schemas.microsoft.com/office/drawing/2014/chart" uri="{C3380CC4-5D6E-409C-BE32-E72D297353CC}">
              <c16:uniqueId val="{00000000-D9B2-412D-9263-60547B6EFC13}"/>
            </c:ext>
          </c:extLst>
        </c:ser>
        <c:ser>
          <c:idx val="1"/>
          <c:order val="1"/>
          <c:tx>
            <c:strRef>
              <c:f>'perceieved safety'!$S$17</c:f>
              <c:strCache>
                <c:ptCount val="1"/>
                <c:pt idx="0">
                  <c:v>2019</c:v>
                </c:pt>
              </c:strCache>
            </c:strRef>
          </c:tx>
          <c:spPr>
            <a:solidFill>
              <a:srgbClr val="00938C"/>
            </a:solidFill>
            <a:ln>
              <a:noFill/>
            </a:ln>
            <a:effectLst/>
          </c:spPr>
          <c:invertIfNegative val="0"/>
          <c:cat>
            <c:strRef>
              <c:f>'perceieved safety'!$Q$18:$Q$20</c:f>
              <c:strCache>
                <c:ptCount val="3"/>
                <c:pt idx="0">
                  <c:v>Don’t feel safe walking in the day</c:v>
                </c:pt>
                <c:pt idx="1">
                  <c:v>Don’t feel safe walking in the dark</c:v>
                </c:pt>
                <c:pt idx="2">
                  <c:v>Don’t feel safe walking because of how people drive</c:v>
                </c:pt>
              </c:strCache>
            </c:strRef>
          </c:cat>
          <c:val>
            <c:numRef>
              <c:f>'perceieved safety'!$S$18:$S$20</c:f>
              <c:numCache>
                <c:formatCode>0%</c:formatCode>
                <c:ptCount val="3"/>
                <c:pt idx="0">
                  <c:v>0.03</c:v>
                </c:pt>
                <c:pt idx="1">
                  <c:v>0.28999999999999998</c:v>
                </c:pt>
                <c:pt idx="2">
                  <c:v>7.0000000000000007E-2</c:v>
                </c:pt>
              </c:numCache>
            </c:numRef>
          </c:val>
          <c:extLst>
            <c:ext xmlns:c16="http://schemas.microsoft.com/office/drawing/2014/chart" uri="{C3380CC4-5D6E-409C-BE32-E72D297353CC}">
              <c16:uniqueId val="{00000001-D9B2-412D-9263-60547B6EFC13}"/>
            </c:ext>
          </c:extLst>
        </c:ser>
        <c:ser>
          <c:idx val="2"/>
          <c:order val="2"/>
          <c:tx>
            <c:strRef>
              <c:f>'perceieved safety'!$T$17</c:f>
              <c:strCache>
                <c:ptCount val="1"/>
                <c:pt idx="0">
                  <c:v>2020</c:v>
                </c:pt>
              </c:strCache>
            </c:strRef>
          </c:tx>
          <c:spPr>
            <a:solidFill>
              <a:srgbClr val="00A9EF"/>
            </a:solidFill>
            <a:ln>
              <a:noFill/>
            </a:ln>
            <a:effectLst/>
          </c:spPr>
          <c:invertIfNegative val="0"/>
          <c:cat>
            <c:strRef>
              <c:f>'perceieved safety'!$Q$18:$Q$20</c:f>
              <c:strCache>
                <c:ptCount val="3"/>
                <c:pt idx="0">
                  <c:v>Don’t feel safe walking in the day</c:v>
                </c:pt>
                <c:pt idx="1">
                  <c:v>Don’t feel safe walking in the dark</c:v>
                </c:pt>
                <c:pt idx="2">
                  <c:v>Don’t feel safe walking because of how people drive</c:v>
                </c:pt>
              </c:strCache>
            </c:strRef>
          </c:cat>
          <c:val>
            <c:numRef>
              <c:f>'perceieved safety'!$T$18:$T$20</c:f>
              <c:numCache>
                <c:formatCode>0%</c:formatCode>
                <c:ptCount val="3"/>
                <c:pt idx="0">
                  <c:v>0.04</c:v>
                </c:pt>
                <c:pt idx="1">
                  <c:v>0.32</c:v>
                </c:pt>
                <c:pt idx="2">
                  <c:v>0.08</c:v>
                </c:pt>
              </c:numCache>
            </c:numRef>
          </c:val>
          <c:extLst>
            <c:ext xmlns:c16="http://schemas.microsoft.com/office/drawing/2014/chart" uri="{C3380CC4-5D6E-409C-BE32-E72D297353CC}">
              <c16:uniqueId val="{00000002-D9B2-412D-9263-60547B6EFC13}"/>
            </c:ext>
          </c:extLst>
        </c:ser>
        <c:dLbls>
          <c:showLegendKey val="0"/>
          <c:showVal val="0"/>
          <c:showCatName val="0"/>
          <c:showSerName val="0"/>
          <c:showPercent val="0"/>
          <c:showBubbleSize val="0"/>
        </c:dLbls>
        <c:gapWidth val="182"/>
        <c:axId val="771228863"/>
        <c:axId val="771229279"/>
      </c:barChart>
      <c:catAx>
        <c:axId val="77122886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1229279"/>
        <c:crosses val="autoZero"/>
        <c:auto val="1"/>
        <c:lblAlgn val="ctr"/>
        <c:lblOffset val="100"/>
        <c:noMultiLvlLbl val="0"/>
      </c:catAx>
      <c:valAx>
        <c:axId val="771229279"/>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12288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Perceived safety of cycling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'perceieved safety'!$R$11</c:f>
              <c:strCache>
                <c:ptCount val="1"/>
                <c:pt idx="0">
                  <c:v>2018</c:v>
                </c:pt>
              </c:strCache>
            </c:strRef>
          </c:tx>
          <c:spPr>
            <a:solidFill>
              <a:srgbClr val="3BA933"/>
            </a:solidFill>
            <a:ln>
              <a:noFill/>
            </a:ln>
            <a:effectLst/>
          </c:spPr>
          <c:invertIfNegative val="0"/>
          <c:cat>
            <c:strRef>
              <c:f>'perceieved safety'!$Q$12:$Q$15</c:f>
              <c:strCache>
                <c:ptCount val="4"/>
                <c:pt idx="0">
                  <c:v>Don’t feel safe cycling in the dark</c:v>
                </c:pt>
                <c:pt idx="1">
                  <c:v>Don’t feel safe cycling because of how people drive</c:v>
                </c:pt>
                <c:pt idx="2">
                  <c:v>Feel safe or extremely safe riding a bicycle</c:v>
                </c:pt>
                <c:pt idx="3">
                  <c:v>Agree it has become safer to cycle on the road</c:v>
                </c:pt>
              </c:strCache>
            </c:strRef>
          </c:cat>
          <c:val>
            <c:numRef>
              <c:f>'perceieved safety'!$R$12:$R$15</c:f>
              <c:numCache>
                <c:formatCode>0%</c:formatCode>
                <c:ptCount val="4"/>
                <c:pt idx="0">
                  <c:v>0.44</c:v>
                </c:pt>
                <c:pt idx="1">
                  <c:v>0.52</c:v>
                </c:pt>
                <c:pt idx="2">
                  <c:v>0.38</c:v>
                </c:pt>
                <c:pt idx="3">
                  <c:v>0.25</c:v>
                </c:pt>
              </c:numCache>
            </c:numRef>
          </c:val>
          <c:extLst>
            <c:ext xmlns:c16="http://schemas.microsoft.com/office/drawing/2014/chart" uri="{C3380CC4-5D6E-409C-BE32-E72D297353CC}">
              <c16:uniqueId val="{00000000-1EF5-40BA-99FA-973A42716DC4}"/>
            </c:ext>
          </c:extLst>
        </c:ser>
        <c:ser>
          <c:idx val="1"/>
          <c:order val="1"/>
          <c:tx>
            <c:strRef>
              <c:f>'perceieved safety'!$S$11</c:f>
              <c:strCache>
                <c:ptCount val="1"/>
                <c:pt idx="0">
                  <c:v>2019</c:v>
                </c:pt>
              </c:strCache>
            </c:strRef>
          </c:tx>
          <c:spPr>
            <a:solidFill>
              <a:srgbClr val="00938C"/>
            </a:solidFill>
            <a:ln>
              <a:noFill/>
            </a:ln>
            <a:effectLst/>
          </c:spPr>
          <c:invertIfNegative val="0"/>
          <c:cat>
            <c:strRef>
              <c:f>'perceieved safety'!$Q$12:$Q$15</c:f>
              <c:strCache>
                <c:ptCount val="4"/>
                <c:pt idx="0">
                  <c:v>Don’t feel safe cycling in the dark</c:v>
                </c:pt>
                <c:pt idx="1">
                  <c:v>Don’t feel safe cycling because of how people drive</c:v>
                </c:pt>
                <c:pt idx="2">
                  <c:v>Feel safe or extremely safe riding a bicycle</c:v>
                </c:pt>
                <c:pt idx="3">
                  <c:v>Agree it has become safer to cycle on the road</c:v>
                </c:pt>
              </c:strCache>
            </c:strRef>
          </c:cat>
          <c:val>
            <c:numRef>
              <c:f>'perceieved safety'!$S$12:$S$15</c:f>
              <c:numCache>
                <c:formatCode>0%</c:formatCode>
                <c:ptCount val="4"/>
                <c:pt idx="0">
                  <c:v>0.4</c:v>
                </c:pt>
                <c:pt idx="1">
                  <c:v>0.47</c:v>
                </c:pt>
                <c:pt idx="2">
                  <c:v>0.42</c:v>
                </c:pt>
                <c:pt idx="3">
                  <c:v>0.28000000000000003</c:v>
                </c:pt>
              </c:numCache>
            </c:numRef>
          </c:val>
          <c:extLst>
            <c:ext xmlns:c16="http://schemas.microsoft.com/office/drawing/2014/chart" uri="{C3380CC4-5D6E-409C-BE32-E72D297353CC}">
              <c16:uniqueId val="{00000001-1EF5-40BA-99FA-973A42716DC4}"/>
            </c:ext>
          </c:extLst>
        </c:ser>
        <c:ser>
          <c:idx val="2"/>
          <c:order val="2"/>
          <c:tx>
            <c:strRef>
              <c:f>'perceieved safety'!$T$11</c:f>
              <c:strCache>
                <c:ptCount val="1"/>
                <c:pt idx="0">
                  <c:v>2020</c:v>
                </c:pt>
              </c:strCache>
            </c:strRef>
          </c:tx>
          <c:spPr>
            <a:solidFill>
              <a:srgbClr val="00A9EF"/>
            </a:solidFill>
            <a:ln>
              <a:noFill/>
            </a:ln>
            <a:effectLst/>
          </c:spPr>
          <c:invertIfNegative val="0"/>
          <c:cat>
            <c:strRef>
              <c:f>'perceieved safety'!$Q$12:$Q$15</c:f>
              <c:strCache>
                <c:ptCount val="4"/>
                <c:pt idx="0">
                  <c:v>Don’t feel safe cycling in the dark</c:v>
                </c:pt>
                <c:pt idx="1">
                  <c:v>Don’t feel safe cycling because of how people drive</c:v>
                </c:pt>
                <c:pt idx="2">
                  <c:v>Feel safe or extremely safe riding a bicycle</c:v>
                </c:pt>
                <c:pt idx="3">
                  <c:v>Agree it has become safer to cycle on the road</c:v>
                </c:pt>
              </c:strCache>
            </c:strRef>
          </c:cat>
          <c:val>
            <c:numRef>
              <c:f>'perceieved safety'!$T$12:$T$15</c:f>
              <c:numCache>
                <c:formatCode>0%</c:formatCode>
                <c:ptCount val="4"/>
                <c:pt idx="0">
                  <c:v>0.37</c:v>
                </c:pt>
                <c:pt idx="1">
                  <c:v>0.41</c:v>
                </c:pt>
                <c:pt idx="2">
                  <c:v>0.56000000000000005</c:v>
                </c:pt>
                <c:pt idx="3">
                  <c:v>0.2</c:v>
                </c:pt>
              </c:numCache>
            </c:numRef>
          </c:val>
          <c:extLst>
            <c:ext xmlns:c16="http://schemas.microsoft.com/office/drawing/2014/chart" uri="{C3380CC4-5D6E-409C-BE32-E72D297353CC}">
              <c16:uniqueId val="{00000002-1EF5-40BA-99FA-973A42716DC4}"/>
            </c:ext>
          </c:extLst>
        </c:ser>
        <c:dLbls>
          <c:showLegendKey val="0"/>
          <c:showVal val="0"/>
          <c:showCatName val="0"/>
          <c:showSerName val="0"/>
          <c:showPercent val="0"/>
          <c:showBubbleSize val="0"/>
        </c:dLbls>
        <c:gapWidth val="182"/>
        <c:axId val="771228031"/>
        <c:axId val="771221791"/>
      </c:barChart>
      <c:catAx>
        <c:axId val="77122803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1221791"/>
        <c:crosses val="autoZero"/>
        <c:auto val="1"/>
        <c:lblAlgn val="ctr"/>
        <c:lblOffset val="100"/>
        <c:noMultiLvlLbl val="0"/>
      </c:catAx>
      <c:valAx>
        <c:axId val="77122179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12280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Mode share by average annual number of trip legs (National)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2015-2018</c:v>
          </c:tx>
          <c:spPr>
            <a:solidFill>
              <a:srgbClr val="00A9EF"/>
            </a:solidFill>
            <a:ln>
              <a:noFill/>
            </a:ln>
            <a:effectLst/>
          </c:spPr>
          <c:invertIfNegative val="0"/>
          <c:cat>
            <c:strRef>
              <c:f>Sheet1!$A$6:$G$6</c:f>
              <c:strCache>
                <c:ptCount val="7"/>
                <c:pt idx="0">
                  <c:v>Car/van driver</c:v>
                </c:pt>
                <c:pt idx="1">
                  <c:v>Car/van passenger</c:v>
                </c:pt>
                <c:pt idx="2">
                  <c:v>Pedestrian</c:v>
                </c:pt>
                <c:pt idx="3">
                  <c:v>Cyclist</c:v>
                </c:pt>
                <c:pt idx="4">
                  <c:v>Local public transport (bus/train/ferry)</c:v>
                </c:pt>
                <c:pt idx="5">
                  <c:v>Motorcyclist</c:v>
                </c:pt>
                <c:pt idx="6">
                  <c:v>Other modes</c:v>
                </c:pt>
              </c:strCache>
            </c:strRef>
          </c:cat>
          <c:val>
            <c:numRef>
              <c:f>Sheet1!$A$7:$G$7</c:f>
              <c:numCache>
                <c:formatCode>0.00%</c:formatCode>
                <c:ptCount val="7"/>
                <c:pt idx="0">
                  <c:v>0.59517894442472763</c:v>
                </c:pt>
                <c:pt idx="1">
                  <c:v>0.2396331751158203</c:v>
                </c:pt>
                <c:pt idx="2">
                  <c:v>0.11901234125808201</c:v>
                </c:pt>
                <c:pt idx="3">
                  <c:v>1.3060178956567595E-2</c:v>
                </c:pt>
                <c:pt idx="4">
                  <c:v>2.5026008342002783E-2</c:v>
                </c:pt>
                <c:pt idx="5">
                  <c:v>1.8657625266827473E-3</c:v>
                </c:pt>
                <c:pt idx="6">
                  <c:v>6.2235893761170948E-3</c:v>
                </c:pt>
              </c:numCache>
            </c:numRef>
          </c:val>
          <c:extLst>
            <c:ext xmlns:c16="http://schemas.microsoft.com/office/drawing/2014/chart" uri="{C3380CC4-5D6E-409C-BE32-E72D297353CC}">
              <c16:uniqueId val="{00000000-D2AF-4B41-9819-6B04514CA10C}"/>
            </c:ext>
          </c:extLst>
        </c:ser>
        <c:ser>
          <c:idx val="1"/>
          <c:order val="1"/>
          <c:tx>
            <c:v>2016-2019</c:v>
          </c:tx>
          <c:spPr>
            <a:solidFill>
              <a:srgbClr val="00938C"/>
            </a:solidFill>
            <a:ln>
              <a:noFill/>
            </a:ln>
            <a:effectLst/>
          </c:spPr>
          <c:invertIfNegative val="0"/>
          <c:cat>
            <c:strRef>
              <c:f>Sheet1!$A$6:$G$6</c:f>
              <c:strCache>
                <c:ptCount val="7"/>
                <c:pt idx="0">
                  <c:v>Car/van driver</c:v>
                </c:pt>
                <c:pt idx="1">
                  <c:v>Car/van passenger</c:v>
                </c:pt>
                <c:pt idx="2">
                  <c:v>Pedestrian</c:v>
                </c:pt>
                <c:pt idx="3">
                  <c:v>Cyclist</c:v>
                </c:pt>
                <c:pt idx="4">
                  <c:v>Local public transport (bus/train/ferry)</c:v>
                </c:pt>
                <c:pt idx="5">
                  <c:v>Motorcyclist</c:v>
                </c:pt>
                <c:pt idx="6">
                  <c:v>Other modes</c:v>
                </c:pt>
              </c:strCache>
            </c:strRef>
          </c:cat>
          <c:val>
            <c:numRef>
              <c:f>Sheet1!$A$8:$G$8</c:f>
              <c:numCache>
                <c:formatCode>0%</c:formatCode>
                <c:ptCount val="7"/>
                <c:pt idx="0">
                  <c:v>0.59432413064056755</c:v>
                </c:pt>
                <c:pt idx="1">
                  <c:v>0.24133011584920591</c:v>
                </c:pt>
                <c:pt idx="2">
                  <c:v>0.11479673316202559</c:v>
                </c:pt>
                <c:pt idx="3">
                  <c:v>1.3690173667072677E-2</c:v>
                </c:pt>
                <c:pt idx="4">
                  <c:v>2.8152004259868624E-2</c:v>
                </c:pt>
                <c:pt idx="5">
                  <c:v>1.4844025653534541E-3</c:v>
                </c:pt>
                <c:pt idx="6">
                  <c:v>6.2224398559062302E-3</c:v>
                </c:pt>
              </c:numCache>
            </c:numRef>
          </c:val>
          <c:extLst>
            <c:ext xmlns:c16="http://schemas.microsoft.com/office/drawing/2014/chart" uri="{C3380CC4-5D6E-409C-BE32-E72D297353CC}">
              <c16:uniqueId val="{00000001-D2AF-4B41-9819-6B04514CA10C}"/>
            </c:ext>
          </c:extLst>
        </c:ser>
        <c:dLbls>
          <c:showLegendKey val="0"/>
          <c:showVal val="0"/>
          <c:showCatName val="0"/>
          <c:showSerName val="0"/>
          <c:showPercent val="0"/>
          <c:showBubbleSize val="0"/>
        </c:dLbls>
        <c:gapWidth val="219"/>
        <c:overlap val="-27"/>
        <c:axId val="243795936"/>
        <c:axId val="243797184"/>
      </c:barChart>
      <c:catAx>
        <c:axId val="243795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243797184"/>
        <c:crosses val="autoZero"/>
        <c:auto val="1"/>
        <c:lblAlgn val="ctr"/>
        <c:lblOffset val="100"/>
        <c:noMultiLvlLbl val="0"/>
      </c:catAx>
      <c:valAx>
        <c:axId val="243797184"/>
        <c:scaling>
          <c:orientation val="minMax"/>
          <c:max val="0.70000000000000007"/>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795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Mode share by average annual time</a:t>
            </a:r>
            <a:r>
              <a:rPr lang="en-NZ" baseline="0"/>
              <a:t> spent travelling (National)</a:t>
            </a:r>
            <a:endParaRPr lang="en-N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2015-2018</c:v>
          </c:tx>
          <c:spPr>
            <a:solidFill>
              <a:srgbClr val="00A9EF"/>
            </a:solidFill>
            <a:ln>
              <a:noFill/>
            </a:ln>
            <a:effectLst/>
          </c:spPr>
          <c:invertIfNegative val="0"/>
          <c:cat>
            <c:strRef>
              <c:f>Sheet1!$A$14:$G$14</c:f>
              <c:strCache>
                <c:ptCount val="7"/>
                <c:pt idx="0">
                  <c:v>Car/van driver</c:v>
                </c:pt>
                <c:pt idx="1">
                  <c:v>Car/van passenger</c:v>
                </c:pt>
                <c:pt idx="2">
                  <c:v>Pedestrian</c:v>
                </c:pt>
                <c:pt idx="3">
                  <c:v>Cyclist</c:v>
                </c:pt>
                <c:pt idx="4">
                  <c:v>Local public transport (bus/train/ferry)</c:v>
                </c:pt>
                <c:pt idx="5">
                  <c:v>Motorcyclist</c:v>
                </c:pt>
                <c:pt idx="6">
                  <c:v>Other modes</c:v>
                </c:pt>
              </c:strCache>
            </c:strRef>
          </c:cat>
          <c:val>
            <c:numRef>
              <c:f>Sheet1!$A$15:$G$15</c:f>
              <c:numCache>
                <c:formatCode>0.00%</c:formatCode>
                <c:ptCount val="7"/>
                <c:pt idx="0">
                  <c:v>0.58147515018005802</c:v>
                </c:pt>
                <c:pt idx="1">
                  <c:v>0.24553148731016591</c:v>
                </c:pt>
                <c:pt idx="2">
                  <c:v>0.10095701346231759</c:v>
                </c:pt>
                <c:pt idx="3">
                  <c:v>1.5428228998209012E-2</c:v>
                </c:pt>
                <c:pt idx="4">
                  <c:v>4.2454220897570581E-2</c:v>
                </c:pt>
                <c:pt idx="5">
                  <c:v>1.8854326190070449E-3</c:v>
                </c:pt>
                <c:pt idx="6">
                  <c:v>1.2268466532671709E-2</c:v>
                </c:pt>
              </c:numCache>
            </c:numRef>
          </c:val>
          <c:extLst>
            <c:ext xmlns:c16="http://schemas.microsoft.com/office/drawing/2014/chart" uri="{C3380CC4-5D6E-409C-BE32-E72D297353CC}">
              <c16:uniqueId val="{00000000-6B3D-4D37-9D06-D4E2A9AA9F58}"/>
            </c:ext>
          </c:extLst>
        </c:ser>
        <c:ser>
          <c:idx val="1"/>
          <c:order val="1"/>
          <c:tx>
            <c:v>2016-2019</c:v>
          </c:tx>
          <c:spPr>
            <a:solidFill>
              <a:srgbClr val="00938C"/>
            </a:solidFill>
            <a:ln>
              <a:noFill/>
            </a:ln>
            <a:effectLst/>
          </c:spPr>
          <c:invertIfNegative val="0"/>
          <c:cat>
            <c:strRef>
              <c:f>Sheet1!$A$14:$G$14</c:f>
              <c:strCache>
                <c:ptCount val="7"/>
                <c:pt idx="0">
                  <c:v>Car/van driver</c:v>
                </c:pt>
                <c:pt idx="1">
                  <c:v>Car/van passenger</c:v>
                </c:pt>
                <c:pt idx="2">
                  <c:v>Pedestrian</c:v>
                </c:pt>
                <c:pt idx="3">
                  <c:v>Cyclist</c:v>
                </c:pt>
                <c:pt idx="4">
                  <c:v>Local public transport (bus/train/ferry)</c:v>
                </c:pt>
                <c:pt idx="5">
                  <c:v>Motorcyclist</c:v>
                </c:pt>
                <c:pt idx="6">
                  <c:v>Other modes</c:v>
                </c:pt>
              </c:strCache>
            </c:strRef>
          </c:cat>
          <c:val>
            <c:numRef>
              <c:f>Sheet1!$A$16:$G$16</c:f>
              <c:numCache>
                <c:formatCode>0%</c:formatCode>
                <c:ptCount val="7"/>
                <c:pt idx="0">
                  <c:v>0.57251715880961862</c:v>
                </c:pt>
                <c:pt idx="1">
                  <c:v>0.24743336157048032</c:v>
                </c:pt>
                <c:pt idx="2">
                  <c:v>9.8900126008611935E-2</c:v>
                </c:pt>
                <c:pt idx="3">
                  <c:v>1.6224193048602814E-2</c:v>
                </c:pt>
                <c:pt idx="4">
                  <c:v>4.9313482646527296E-2</c:v>
                </c:pt>
                <c:pt idx="5">
                  <c:v>1.6610288604537793E-3</c:v>
                </c:pt>
                <c:pt idx="6">
                  <c:v>1.3950649055705266E-2</c:v>
                </c:pt>
              </c:numCache>
            </c:numRef>
          </c:val>
          <c:extLst>
            <c:ext xmlns:c16="http://schemas.microsoft.com/office/drawing/2014/chart" uri="{C3380CC4-5D6E-409C-BE32-E72D297353CC}">
              <c16:uniqueId val="{00000001-6B3D-4D37-9D06-D4E2A9AA9F58}"/>
            </c:ext>
          </c:extLst>
        </c:ser>
        <c:dLbls>
          <c:showLegendKey val="0"/>
          <c:showVal val="0"/>
          <c:showCatName val="0"/>
          <c:showSerName val="0"/>
          <c:showPercent val="0"/>
          <c:showBubbleSize val="0"/>
        </c:dLbls>
        <c:gapWidth val="219"/>
        <c:overlap val="-27"/>
        <c:axId val="246062512"/>
        <c:axId val="246060848"/>
      </c:barChart>
      <c:catAx>
        <c:axId val="246062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246060848"/>
        <c:crosses val="autoZero"/>
        <c:auto val="1"/>
        <c:lblAlgn val="ctr"/>
        <c:lblOffset val="100"/>
        <c:noMultiLvlLbl val="0"/>
      </c:catAx>
      <c:valAx>
        <c:axId val="2460608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6062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Mode share by average annual distance travelled, and by distance of trip legs (National)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'GPS access - access choice'!$B$43</c:f>
              <c:strCache>
                <c:ptCount val="1"/>
                <c:pt idx="0">
                  <c:v>&lt;2km</c:v>
                </c:pt>
              </c:strCache>
            </c:strRef>
          </c:tx>
          <c:spPr>
            <a:solidFill>
              <a:srgbClr val="00A9EF"/>
            </a:solidFill>
            <a:ln>
              <a:noFill/>
            </a:ln>
            <a:effectLst/>
          </c:spPr>
          <c:invertIfNegative val="0"/>
          <c:cat>
            <c:strRef>
              <c:f>'GPS access - access choice'!$C$42:$I$42</c:f>
              <c:strCache>
                <c:ptCount val="7"/>
                <c:pt idx="0">
                  <c:v>Car/ van driver</c:v>
                </c:pt>
                <c:pt idx="1">
                  <c:v>Car/van passenger</c:v>
                </c:pt>
                <c:pt idx="2">
                  <c:v>Pedestrian</c:v>
                </c:pt>
                <c:pt idx="3">
                  <c:v>Cyclist</c:v>
                </c:pt>
                <c:pt idx="4">
                  <c:v>Local PT (bus/train/ferry)</c:v>
                </c:pt>
                <c:pt idx="5">
                  <c:v>Motorcyclist</c:v>
                </c:pt>
                <c:pt idx="6">
                  <c:v>Other household travel</c:v>
                </c:pt>
              </c:strCache>
            </c:strRef>
          </c:cat>
          <c:val>
            <c:numRef>
              <c:f>'GPS access - access choice'!$C$43:$I$43</c:f>
              <c:numCache>
                <c:formatCode>0%</c:formatCode>
                <c:ptCount val="7"/>
                <c:pt idx="0">
                  <c:v>0.53676208914005896</c:v>
                </c:pt>
                <c:pt idx="1">
                  <c:v>0.23150507480533533</c:v>
                </c:pt>
                <c:pt idx="2">
                  <c:v>0.19751645337774681</c:v>
                </c:pt>
                <c:pt idx="3">
                  <c:v>1.9103474782559186E-2</c:v>
                </c:pt>
                <c:pt idx="4">
                  <c:v>7.7154123190365711E-3</c:v>
                </c:pt>
                <c:pt idx="5">
                  <c:v>1.1245711682728581E-3</c:v>
                </c:pt>
                <c:pt idx="6">
                  <c:v>6.2729244069903737E-3</c:v>
                </c:pt>
              </c:numCache>
            </c:numRef>
          </c:val>
          <c:extLst>
            <c:ext xmlns:c16="http://schemas.microsoft.com/office/drawing/2014/chart" uri="{C3380CC4-5D6E-409C-BE32-E72D297353CC}">
              <c16:uniqueId val="{00000000-52C9-4513-968D-968EC0EECBA5}"/>
            </c:ext>
          </c:extLst>
        </c:ser>
        <c:ser>
          <c:idx val="1"/>
          <c:order val="1"/>
          <c:tx>
            <c:strRef>
              <c:f>'GPS access - access choice'!$B$44</c:f>
              <c:strCache>
                <c:ptCount val="1"/>
                <c:pt idx="0">
                  <c:v>2=&lt;5km</c:v>
                </c:pt>
              </c:strCache>
            </c:strRef>
          </c:tx>
          <c:spPr>
            <a:solidFill>
              <a:srgbClr val="00938C"/>
            </a:solidFill>
            <a:ln>
              <a:noFill/>
            </a:ln>
            <a:effectLst/>
          </c:spPr>
          <c:invertIfNegative val="0"/>
          <c:cat>
            <c:strRef>
              <c:f>'GPS access - access choice'!$C$42:$I$42</c:f>
              <c:strCache>
                <c:ptCount val="7"/>
                <c:pt idx="0">
                  <c:v>Car/ van driver</c:v>
                </c:pt>
                <c:pt idx="1">
                  <c:v>Car/van passenger</c:v>
                </c:pt>
                <c:pt idx="2">
                  <c:v>Pedestrian</c:v>
                </c:pt>
                <c:pt idx="3">
                  <c:v>Cyclist</c:v>
                </c:pt>
                <c:pt idx="4">
                  <c:v>Local PT (bus/train/ferry)</c:v>
                </c:pt>
                <c:pt idx="5">
                  <c:v>Motorcyclist</c:v>
                </c:pt>
                <c:pt idx="6">
                  <c:v>Other household travel</c:v>
                </c:pt>
              </c:strCache>
            </c:strRef>
          </c:cat>
          <c:val>
            <c:numRef>
              <c:f>'GPS access - access choice'!$C$44:$I$44</c:f>
              <c:numCache>
                <c:formatCode>0%</c:formatCode>
                <c:ptCount val="7"/>
                <c:pt idx="0">
                  <c:v>0.64737696809991119</c:v>
                </c:pt>
                <c:pt idx="1">
                  <c:v>0.26650220363113558</c:v>
                </c:pt>
                <c:pt idx="2">
                  <c:v>3.5408277483315084E-2</c:v>
                </c:pt>
                <c:pt idx="3">
                  <c:v>1.59069929495818E-2</c:v>
                </c:pt>
                <c:pt idx="4">
                  <c:v>2.6924147432033852E-2</c:v>
                </c:pt>
                <c:pt idx="5">
                  <c:v>1.5138074861384494E-3</c:v>
                </c:pt>
                <c:pt idx="6">
                  <c:v>6.3676029178839529E-3</c:v>
                </c:pt>
              </c:numCache>
            </c:numRef>
          </c:val>
          <c:extLst>
            <c:ext xmlns:c16="http://schemas.microsoft.com/office/drawing/2014/chart" uri="{C3380CC4-5D6E-409C-BE32-E72D297353CC}">
              <c16:uniqueId val="{00000001-52C9-4513-968D-968EC0EECBA5}"/>
            </c:ext>
          </c:extLst>
        </c:ser>
        <c:ser>
          <c:idx val="2"/>
          <c:order val="2"/>
          <c:tx>
            <c:strRef>
              <c:f>'GPS access - access choice'!$B$45</c:f>
              <c:strCache>
                <c:ptCount val="1"/>
                <c:pt idx="0">
                  <c:v>5+km</c:v>
                </c:pt>
              </c:strCache>
            </c:strRef>
          </c:tx>
          <c:spPr>
            <a:solidFill>
              <a:srgbClr val="3BA933"/>
            </a:solidFill>
            <a:ln>
              <a:noFill/>
            </a:ln>
            <a:effectLst/>
          </c:spPr>
          <c:invertIfNegative val="0"/>
          <c:cat>
            <c:strRef>
              <c:f>'GPS access - access choice'!$C$42:$I$42</c:f>
              <c:strCache>
                <c:ptCount val="7"/>
                <c:pt idx="0">
                  <c:v>Car/ van driver</c:v>
                </c:pt>
                <c:pt idx="1">
                  <c:v>Car/van passenger</c:v>
                </c:pt>
                <c:pt idx="2">
                  <c:v>Pedestrian</c:v>
                </c:pt>
                <c:pt idx="3">
                  <c:v>Cyclist</c:v>
                </c:pt>
                <c:pt idx="4">
                  <c:v>Local PT (bus/train/ferry)</c:v>
                </c:pt>
                <c:pt idx="5">
                  <c:v>Motorcyclist</c:v>
                </c:pt>
                <c:pt idx="6">
                  <c:v>Other household travel</c:v>
                </c:pt>
              </c:strCache>
            </c:strRef>
          </c:cat>
          <c:val>
            <c:numRef>
              <c:f>'GPS access - access choice'!$C$45:$I$45</c:f>
              <c:numCache>
                <c:formatCode>0%</c:formatCode>
                <c:ptCount val="7"/>
                <c:pt idx="0">
                  <c:v>0.63790324375499685</c:v>
                </c:pt>
                <c:pt idx="1">
                  <c:v>0.27613091437014109</c:v>
                </c:pt>
                <c:pt idx="2">
                  <c:v>1.6020181233917755E-3</c:v>
                </c:pt>
                <c:pt idx="3">
                  <c:v>4.4240610025217978E-3</c:v>
                </c:pt>
                <c:pt idx="4">
                  <c:v>3.6631130940050376E-2</c:v>
                </c:pt>
                <c:pt idx="5">
                  <c:v>2.201009404098907E-3</c:v>
                </c:pt>
                <c:pt idx="6">
                  <c:v>4.1107622404799114E-2</c:v>
                </c:pt>
              </c:numCache>
            </c:numRef>
          </c:val>
          <c:extLst>
            <c:ext xmlns:c16="http://schemas.microsoft.com/office/drawing/2014/chart" uri="{C3380CC4-5D6E-409C-BE32-E72D297353CC}">
              <c16:uniqueId val="{00000002-52C9-4513-968D-968EC0EECBA5}"/>
            </c:ext>
          </c:extLst>
        </c:ser>
        <c:dLbls>
          <c:showLegendKey val="0"/>
          <c:showVal val="0"/>
          <c:showCatName val="0"/>
          <c:showSerName val="0"/>
          <c:showPercent val="0"/>
          <c:showBubbleSize val="0"/>
        </c:dLbls>
        <c:gapWidth val="219"/>
        <c:overlap val="-27"/>
        <c:axId val="997529408"/>
        <c:axId val="997548544"/>
      </c:barChart>
      <c:catAx>
        <c:axId val="997529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997548544"/>
        <c:crosses val="autoZero"/>
        <c:auto val="1"/>
        <c:lblAlgn val="ctr"/>
        <c:lblOffset val="100"/>
        <c:noMultiLvlLbl val="0"/>
      </c:catAx>
      <c:valAx>
        <c:axId val="9975485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7529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Road</a:t>
            </a:r>
            <a:r>
              <a:rPr lang="en-NZ" baseline="0"/>
              <a:t> Serious Injuries</a:t>
            </a:r>
            <a:endParaRPr lang="en-N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'Road serious injuries '!$A$18</c:f>
              <c:strCache>
                <c:ptCount val="1"/>
                <c:pt idx="0">
                  <c:v>National</c:v>
                </c:pt>
              </c:strCache>
            </c:strRef>
          </c:tx>
          <c:spPr>
            <a:ln w="28575" cap="rnd">
              <a:solidFill>
                <a:schemeClr val="accent1"/>
              </a:solidFill>
              <a:round/>
            </a:ln>
            <a:effectLst/>
          </c:spPr>
          <c:marker>
            <c:symbol val="none"/>
          </c:marker>
          <c:dPt>
            <c:idx val="0"/>
            <c:marker>
              <c:symbol val="none"/>
            </c:marker>
            <c:bubble3D val="0"/>
            <c:spPr>
              <a:ln w="28575" cap="rnd">
                <a:solidFill>
                  <a:schemeClr val="accent1"/>
                </a:solidFill>
                <a:round/>
              </a:ln>
              <a:effectLst/>
            </c:spPr>
            <c:extLst>
              <c:ext xmlns:c16="http://schemas.microsoft.com/office/drawing/2014/chart" uri="{C3380CC4-5D6E-409C-BE32-E72D297353CC}">
                <c16:uniqueId val="{00000001-8BFB-4F0E-8708-7922DC919983}"/>
              </c:ext>
            </c:extLst>
          </c:dPt>
          <c:dPt>
            <c:idx val="1"/>
            <c:marker>
              <c:symbol val="none"/>
            </c:marker>
            <c:bubble3D val="0"/>
            <c:spPr>
              <a:ln w="28575" cap="rnd">
                <a:solidFill>
                  <a:schemeClr val="accent1"/>
                </a:solidFill>
                <a:round/>
              </a:ln>
              <a:effectLst/>
            </c:spPr>
            <c:extLst>
              <c:ext xmlns:c16="http://schemas.microsoft.com/office/drawing/2014/chart" uri="{C3380CC4-5D6E-409C-BE32-E72D297353CC}">
                <c16:uniqueId val="{00000003-8BFB-4F0E-8708-7922DC919983}"/>
              </c:ext>
            </c:extLst>
          </c:dPt>
          <c:dPt>
            <c:idx val="2"/>
            <c:marker>
              <c:symbol val="none"/>
            </c:marker>
            <c:bubble3D val="0"/>
            <c:spPr>
              <a:ln w="28575" cap="rnd">
                <a:solidFill>
                  <a:schemeClr val="accent1"/>
                </a:solidFill>
                <a:round/>
              </a:ln>
              <a:effectLst/>
            </c:spPr>
            <c:extLst>
              <c:ext xmlns:c16="http://schemas.microsoft.com/office/drawing/2014/chart" uri="{C3380CC4-5D6E-409C-BE32-E72D297353CC}">
                <c16:uniqueId val="{00000005-8BFB-4F0E-8708-7922DC919983}"/>
              </c:ext>
            </c:extLst>
          </c:dPt>
          <c:dPt>
            <c:idx val="3"/>
            <c:marker>
              <c:symbol val="none"/>
            </c:marker>
            <c:bubble3D val="0"/>
            <c:spPr>
              <a:ln w="28575" cap="rnd">
                <a:solidFill>
                  <a:schemeClr val="accent1"/>
                </a:solidFill>
                <a:round/>
              </a:ln>
              <a:effectLst/>
            </c:spPr>
            <c:extLst>
              <c:ext xmlns:c16="http://schemas.microsoft.com/office/drawing/2014/chart" uri="{C3380CC4-5D6E-409C-BE32-E72D297353CC}">
                <c16:uniqueId val="{00000007-8BFB-4F0E-8708-7922DC919983}"/>
              </c:ext>
            </c:extLst>
          </c:dPt>
          <c:dPt>
            <c:idx val="4"/>
            <c:marker>
              <c:symbol val="none"/>
            </c:marker>
            <c:bubble3D val="0"/>
            <c:spPr>
              <a:ln w="28575" cap="rnd">
                <a:solidFill>
                  <a:schemeClr val="accent1"/>
                </a:solidFill>
                <a:round/>
              </a:ln>
              <a:effectLst/>
            </c:spPr>
            <c:extLst>
              <c:ext xmlns:c16="http://schemas.microsoft.com/office/drawing/2014/chart" uri="{C3380CC4-5D6E-409C-BE32-E72D297353CC}">
                <c16:uniqueId val="{00000009-8BFB-4F0E-8708-7922DC919983}"/>
              </c:ext>
            </c:extLst>
          </c:dPt>
          <c:cat>
            <c:strRef>
              <c:f>'Road serious injuries '!$B$1:$F$1</c:f>
              <c:strCache>
                <c:ptCount val="5"/>
                <c:pt idx="0">
                  <c:v>2015/16</c:v>
                </c:pt>
                <c:pt idx="1">
                  <c:v>2016/17</c:v>
                </c:pt>
                <c:pt idx="2">
                  <c:v>2017/18</c:v>
                </c:pt>
                <c:pt idx="3">
                  <c:v>2018/19</c:v>
                </c:pt>
                <c:pt idx="4">
                  <c:v>2019/20</c:v>
                </c:pt>
              </c:strCache>
            </c:strRef>
          </c:cat>
          <c:val>
            <c:numRef>
              <c:f>'Road serious injuries '!$B$18:$F$18</c:f>
              <c:numCache>
                <c:formatCode>#,##0</c:formatCode>
                <c:ptCount val="5"/>
                <c:pt idx="0">
                  <c:v>2424</c:v>
                </c:pt>
                <c:pt idx="1">
                  <c:v>2770</c:v>
                </c:pt>
                <c:pt idx="2">
                  <c:v>2697</c:v>
                </c:pt>
                <c:pt idx="3">
                  <c:v>2536</c:v>
                </c:pt>
                <c:pt idx="4">
                  <c:v>2224</c:v>
                </c:pt>
              </c:numCache>
            </c:numRef>
          </c:val>
          <c:smooth val="0"/>
          <c:extLst>
            <c:ext xmlns:c16="http://schemas.microsoft.com/office/drawing/2014/chart" uri="{C3380CC4-5D6E-409C-BE32-E72D297353CC}">
              <c16:uniqueId val="{0000000A-8BFB-4F0E-8708-7922DC919983}"/>
            </c:ext>
          </c:extLst>
        </c:ser>
        <c:dLbls>
          <c:showLegendKey val="0"/>
          <c:showVal val="0"/>
          <c:showCatName val="0"/>
          <c:showSerName val="0"/>
          <c:showPercent val="0"/>
          <c:showBubbleSize val="0"/>
        </c:dLbls>
        <c:smooth val="0"/>
        <c:axId val="771230943"/>
        <c:axId val="771220959"/>
      </c:lineChart>
      <c:catAx>
        <c:axId val="7712309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1220959"/>
        <c:crosses val="autoZero"/>
        <c:auto val="1"/>
        <c:lblAlgn val="ctr"/>
        <c:lblOffset val="100"/>
        <c:noMultiLvlLbl val="0"/>
      </c:catAx>
      <c:valAx>
        <c:axId val="77122095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123094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Distance (km) per capita in single occupancy vehicles in Main Urban Areas on weekdays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'GPS access - access choice 14'!$C$2:$C$3</c:f>
              <c:strCache>
                <c:ptCount val="2"/>
                <c:pt idx="0">
                  <c:v>2016-2019</c:v>
                </c:pt>
                <c:pt idx="1">
                  <c:v>Distance (km) per capita in single occupancy vehicles in Main Urban Areas on weekdays</c:v>
                </c:pt>
              </c:strCache>
            </c:strRef>
          </c:tx>
          <c:spPr>
            <a:solidFill>
              <a:srgbClr val="F69E00"/>
            </a:solidFill>
            <a:ln>
              <a:noFill/>
            </a:ln>
            <a:effectLst/>
          </c:spPr>
          <c:invertIfNegative val="0"/>
          <c:dPt>
            <c:idx val="0"/>
            <c:invertIfNegative val="0"/>
            <c:bubble3D val="0"/>
            <c:spPr>
              <a:solidFill>
                <a:srgbClr val="00A9EF"/>
              </a:solidFill>
              <a:ln>
                <a:noFill/>
              </a:ln>
              <a:effectLst/>
            </c:spPr>
            <c:extLst>
              <c:ext xmlns:c16="http://schemas.microsoft.com/office/drawing/2014/chart" uri="{C3380CC4-5D6E-409C-BE32-E72D297353CC}">
                <c16:uniqueId val="{00000001-BB2E-4A76-9475-0B3FD8BD39D4}"/>
              </c:ext>
            </c:extLst>
          </c:dPt>
          <c:dPt>
            <c:idx val="1"/>
            <c:invertIfNegative val="0"/>
            <c:bubble3D val="0"/>
            <c:spPr>
              <a:solidFill>
                <a:srgbClr val="00938C"/>
              </a:solidFill>
              <a:ln>
                <a:noFill/>
              </a:ln>
              <a:effectLst/>
            </c:spPr>
            <c:extLst>
              <c:ext xmlns:c16="http://schemas.microsoft.com/office/drawing/2014/chart" uri="{C3380CC4-5D6E-409C-BE32-E72D297353CC}">
                <c16:uniqueId val="{00000003-BB2E-4A76-9475-0B3FD8BD39D4}"/>
              </c:ext>
            </c:extLst>
          </c:dPt>
          <c:dPt>
            <c:idx val="2"/>
            <c:invertIfNegative val="0"/>
            <c:bubble3D val="0"/>
            <c:spPr>
              <a:solidFill>
                <a:srgbClr val="3BA933"/>
              </a:solidFill>
              <a:ln>
                <a:noFill/>
              </a:ln>
              <a:effectLst/>
            </c:spPr>
            <c:extLst>
              <c:ext xmlns:c16="http://schemas.microsoft.com/office/drawing/2014/chart" uri="{C3380CC4-5D6E-409C-BE32-E72D297353CC}">
                <c16:uniqueId val="{00000005-BB2E-4A76-9475-0B3FD8BD39D4}"/>
              </c:ext>
            </c:extLst>
          </c:dPt>
          <c:dPt>
            <c:idx val="3"/>
            <c:invertIfNegative val="0"/>
            <c:bubble3D val="0"/>
            <c:spPr>
              <a:solidFill>
                <a:srgbClr val="B4D012"/>
              </a:solidFill>
              <a:ln>
                <a:noFill/>
              </a:ln>
              <a:effectLst/>
            </c:spPr>
            <c:extLst>
              <c:ext xmlns:c16="http://schemas.microsoft.com/office/drawing/2014/chart" uri="{C3380CC4-5D6E-409C-BE32-E72D297353CC}">
                <c16:uniqueId val="{00000007-BB2E-4A76-9475-0B3FD8BD39D4}"/>
              </c:ext>
            </c:extLst>
          </c:dPt>
          <c:cat>
            <c:strRef>
              <c:f>'GPS access - access choice 14'!$B$4:$B$7</c:f>
              <c:strCache>
                <c:ptCount val="4"/>
                <c:pt idx="0">
                  <c:v>All Main Urban Areas</c:v>
                </c:pt>
                <c:pt idx="1">
                  <c:v>Auckland</c:v>
                </c:pt>
                <c:pt idx="2">
                  <c:v>Wellington (including Upper Hutt, Lower Hutt, Porirua and Kapiti)</c:v>
                </c:pt>
                <c:pt idx="3">
                  <c:v>Christchurch</c:v>
                </c:pt>
              </c:strCache>
            </c:strRef>
          </c:cat>
          <c:val>
            <c:numRef>
              <c:f>'GPS access - access choice 14'!$C$4:$C$7</c:f>
              <c:numCache>
                <c:formatCode>_-* #,##0_-;\-* #,##0_-;_-* "-"??_-;_-@_-</c:formatCode>
                <c:ptCount val="4"/>
                <c:pt idx="0">
                  <c:v>2984.5749829785059</c:v>
                </c:pt>
                <c:pt idx="1">
                  <c:v>3065.298228530844</c:v>
                </c:pt>
                <c:pt idx="2">
                  <c:v>2489.9343139356019</c:v>
                </c:pt>
                <c:pt idx="3">
                  <c:v>2872.1330629246318</c:v>
                </c:pt>
              </c:numCache>
            </c:numRef>
          </c:val>
          <c:extLst>
            <c:ext xmlns:c16="http://schemas.microsoft.com/office/drawing/2014/chart" uri="{C3380CC4-5D6E-409C-BE32-E72D297353CC}">
              <c16:uniqueId val="{00000008-BB2E-4A76-9475-0B3FD8BD39D4}"/>
            </c:ext>
          </c:extLst>
        </c:ser>
        <c:dLbls>
          <c:showLegendKey val="0"/>
          <c:showVal val="0"/>
          <c:showCatName val="0"/>
          <c:showSerName val="0"/>
          <c:showPercent val="0"/>
          <c:showBubbleSize val="0"/>
        </c:dLbls>
        <c:gapWidth val="219"/>
        <c:overlap val="-27"/>
        <c:axId val="803178992"/>
        <c:axId val="804429024"/>
      </c:barChart>
      <c:catAx>
        <c:axId val="803178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4429024"/>
        <c:crosses val="autoZero"/>
        <c:auto val="1"/>
        <c:lblAlgn val="ctr"/>
        <c:lblOffset val="100"/>
        <c:noMultiLvlLbl val="0"/>
      </c:catAx>
      <c:valAx>
        <c:axId val="804429024"/>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3178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Network kilometres</a:t>
            </a:r>
            <a:r>
              <a:rPr lang="en-NZ" baseline="0"/>
              <a:t> of walking and cycling facilities delivered</a:t>
            </a:r>
            <a:endParaRPr lang="en-N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00A9EF"/>
              </a:solidFill>
              <a:ln>
                <a:noFill/>
              </a:ln>
              <a:effectLst/>
            </c:spPr>
            <c:extLst>
              <c:ext xmlns:c16="http://schemas.microsoft.com/office/drawing/2014/chart" uri="{C3380CC4-5D6E-409C-BE32-E72D297353CC}">
                <c16:uniqueId val="{00000001-F105-479F-B2BF-D27F0995483D}"/>
              </c:ext>
            </c:extLst>
          </c:dPt>
          <c:dPt>
            <c:idx val="1"/>
            <c:invertIfNegative val="0"/>
            <c:bubble3D val="0"/>
            <c:spPr>
              <a:solidFill>
                <a:srgbClr val="00938C"/>
              </a:solidFill>
              <a:ln>
                <a:noFill/>
              </a:ln>
              <a:effectLst/>
            </c:spPr>
            <c:extLst>
              <c:ext xmlns:c16="http://schemas.microsoft.com/office/drawing/2014/chart" uri="{C3380CC4-5D6E-409C-BE32-E72D297353CC}">
                <c16:uniqueId val="{00000003-F105-479F-B2BF-D27F0995483D}"/>
              </c:ext>
            </c:extLst>
          </c:dPt>
          <c:dPt>
            <c:idx val="2"/>
            <c:invertIfNegative val="0"/>
            <c:bubble3D val="0"/>
            <c:spPr>
              <a:solidFill>
                <a:srgbClr val="3BA933"/>
              </a:solidFill>
              <a:ln>
                <a:noFill/>
              </a:ln>
              <a:effectLst/>
            </c:spPr>
            <c:extLst>
              <c:ext xmlns:c16="http://schemas.microsoft.com/office/drawing/2014/chart" uri="{C3380CC4-5D6E-409C-BE32-E72D297353CC}">
                <c16:uniqueId val="{00000005-F105-479F-B2BF-D27F0995483D}"/>
              </c:ext>
            </c:extLst>
          </c:dPt>
          <c:dPt>
            <c:idx val="3"/>
            <c:invertIfNegative val="0"/>
            <c:bubble3D val="0"/>
            <c:spPr>
              <a:solidFill>
                <a:srgbClr val="B4D012"/>
              </a:solidFill>
              <a:ln>
                <a:noFill/>
              </a:ln>
              <a:effectLst/>
            </c:spPr>
            <c:extLst>
              <c:ext xmlns:c16="http://schemas.microsoft.com/office/drawing/2014/chart" uri="{C3380CC4-5D6E-409C-BE32-E72D297353CC}">
                <c16:uniqueId val="{00000007-F105-479F-B2BF-D27F0995483D}"/>
              </c:ext>
            </c:extLst>
          </c:dPt>
          <c:dPt>
            <c:idx val="4"/>
            <c:invertIfNegative val="0"/>
            <c:bubble3D val="0"/>
            <c:spPr>
              <a:solidFill>
                <a:srgbClr val="F69E00"/>
              </a:solidFill>
              <a:ln>
                <a:noFill/>
              </a:ln>
              <a:effectLst/>
            </c:spPr>
            <c:extLst>
              <c:ext xmlns:c16="http://schemas.microsoft.com/office/drawing/2014/chart" uri="{C3380CC4-5D6E-409C-BE32-E72D297353CC}">
                <c16:uniqueId val="{00000009-F105-479F-B2BF-D27F0995483D}"/>
              </c:ext>
            </c:extLst>
          </c:dPt>
          <c:cat>
            <c:strRef>
              <c:f>'Network km delivered walkcycle'!$A$1:$E$1</c:f>
              <c:strCache>
                <c:ptCount val="5"/>
                <c:pt idx="0">
                  <c:v>2015/16</c:v>
                </c:pt>
                <c:pt idx="1">
                  <c:v>2016/17</c:v>
                </c:pt>
                <c:pt idx="2">
                  <c:v>2017/18</c:v>
                </c:pt>
                <c:pt idx="3">
                  <c:v>2018/19</c:v>
                </c:pt>
                <c:pt idx="4">
                  <c:v>2019/20</c:v>
                </c:pt>
              </c:strCache>
            </c:strRef>
          </c:cat>
          <c:val>
            <c:numRef>
              <c:f>'Network km delivered walkcycle'!$A$2:$E$2</c:f>
              <c:numCache>
                <c:formatCode>General</c:formatCode>
                <c:ptCount val="5"/>
                <c:pt idx="0">
                  <c:v>45.5</c:v>
                </c:pt>
                <c:pt idx="1">
                  <c:v>91.4</c:v>
                </c:pt>
                <c:pt idx="2">
                  <c:v>79.3</c:v>
                </c:pt>
                <c:pt idx="3">
                  <c:v>104.8</c:v>
                </c:pt>
                <c:pt idx="4">
                  <c:v>63.2</c:v>
                </c:pt>
              </c:numCache>
            </c:numRef>
          </c:val>
          <c:extLst>
            <c:ext xmlns:c16="http://schemas.microsoft.com/office/drawing/2014/chart" uri="{C3380CC4-5D6E-409C-BE32-E72D297353CC}">
              <c16:uniqueId val="{0000000A-F105-479F-B2BF-D27F0995483D}"/>
            </c:ext>
          </c:extLst>
        </c:ser>
        <c:dLbls>
          <c:showLegendKey val="0"/>
          <c:showVal val="0"/>
          <c:showCatName val="0"/>
          <c:showSerName val="0"/>
          <c:showPercent val="0"/>
          <c:showBubbleSize val="0"/>
        </c:dLbls>
        <c:gapWidth val="219"/>
        <c:overlap val="-27"/>
        <c:axId val="766021727"/>
        <c:axId val="766017567"/>
        <c:extLst>
          <c:ext xmlns:c15="http://schemas.microsoft.com/office/drawing/2012/chart" uri="{02D57815-91ED-43cb-92C2-25804820EDAC}">
            <c15:filteredBarSeries>
              <c15:ser>
                <c:idx val="1"/>
                <c:order val="1"/>
                <c:spPr>
                  <a:solidFill>
                    <a:schemeClr val="accent2"/>
                  </a:solidFill>
                  <a:ln>
                    <a:noFill/>
                  </a:ln>
                  <a:effectLst/>
                </c:spPr>
                <c:invertIfNegative val="0"/>
                <c:cat>
                  <c:strRef>
                    <c:extLst>
                      <c:ext uri="{02D57815-91ED-43cb-92C2-25804820EDAC}">
                        <c15:formulaRef>
                          <c15:sqref>'Network km delivered walkcycle'!$A$1:$E$1</c15:sqref>
                        </c15:formulaRef>
                      </c:ext>
                    </c:extLst>
                    <c:strCache>
                      <c:ptCount val="5"/>
                      <c:pt idx="0">
                        <c:v>2015/16</c:v>
                      </c:pt>
                      <c:pt idx="1">
                        <c:v>2016/17</c:v>
                      </c:pt>
                      <c:pt idx="2">
                        <c:v>2017/18</c:v>
                      </c:pt>
                      <c:pt idx="3">
                        <c:v>2018/19</c:v>
                      </c:pt>
                      <c:pt idx="4">
                        <c:v>2019/20</c:v>
                      </c:pt>
                    </c:strCache>
                  </c:strRef>
                </c:cat>
                <c:val>
                  <c:numRef>
                    <c:extLst>
                      <c:ext uri="{02D57815-91ED-43cb-92C2-25804820EDAC}">
                        <c15:formulaRef>
                          <c15:sqref>'Network km delivered walkcycle'!$A$3:$E$3</c15:sqref>
                        </c15:formulaRef>
                      </c:ext>
                    </c:extLst>
                    <c:numCache>
                      <c:formatCode>General</c:formatCode>
                      <c:ptCount val="5"/>
                    </c:numCache>
                  </c:numRef>
                </c:val>
                <c:extLst>
                  <c:ext xmlns:c16="http://schemas.microsoft.com/office/drawing/2014/chart" uri="{C3380CC4-5D6E-409C-BE32-E72D297353CC}">
                    <c16:uniqueId val="{0000000B-F105-479F-B2BF-D27F0995483D}"/>
                  </c:ext>
                </c:extLst>
              </c15:ser>
            </c15:filteredBarSeries>
          </c:ext>
        </c:extLst>
      </c:barChart>
      <c:catAx>
        <c:axId val="766021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6017567"/>
        <c:crosses val="autoZero"/>
        <c:auto val="1"/>
        <c:lblAlgn val="ctr"/>
        <c:lblOffset val="100"/>
        <c:noMultiLvlLbl val="0"/>
      </c:catAx>
      <c:valAx>
        <c:axId val="7660175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Network</a:t>
                </a:r>
                <a:r>
                  <a:rPr lang="en-NZ" baseline="0"/>
                  <a:t> Kms</a:t>
                </a:r>
                <a:endParaRPr lang="en-NZ"/>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60217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Walking</a:t>
            </a:r>
            <a:r>
              <a:rPr lang="en-US" baseline="0"/>
              <a:t> count in urban areas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'Walking count in urban areas'!$B$1</c:f>
              <c:strCache>
                <c:ptCount val="1"/>
                <c:pt idx="0">
                  <c:v>2019/20</c:v>
                </c:pt>
              </c:strCache>
            </c:strRef>
          </c:tx>
          <c:spPr>
            <a:solidFill>
              <a:srgbClr val="00A9EF"/>
            </a:solidFill>
            <a:ln>
              <a:noFill/>
            </a:ln>
            <a:effectLst/>
          </c:spPr>
          <c:invertIfNegative val="0"/>
          <c:dPt>
            <c:idx val="1"/>
            <c:invertIfNegative val="0"/>
            <c:bubble3D val="0"/>
            <c:spPr>
              <a:solidFill>
                <a:srgbClr val="00938C"/>
              </a:solidFill>
              <a:ln>
                <a:noFill/>
              </a:ln>
              <a:effectLst/>
            </c:spPr>
            <c:extLst>
              <c:ext xmlns:c16="http://schemas.microsoft.com/office/drawing/2014/chart" uri="{C3380CC4-5D6E-409C-BE32-E72D297353CC}">
                <c16:uniqueId val="{00000001-E7E9-47FD-9C8E-2A3403579945}"/>
              </c:ext>
            </c:extLst>
          </c:dPt>
          <c:dPt>
            <c:idx val="2"/>
            <c:invertIfNegative val="0"/>
            <c:bubble3D val="0"/>
            <c:spPr>
              <a:solidFill>
                <a:srgbClr val="3BA933"/>
              </a:solidFill>
              <a:ln>
                <a:noFill/>
              </a:ln>
              <a:effectLst/>
            </c:spPr>
            <c:extLst>
              <c:ext xmlns:c16="http://schemas.microsoft.com/office/drawing/2014/chart" uri="{C3380CC4-5D6E-409C-BE32-E72D297353CC}">
                <c16:uniqueId val="{00000003-E7E9-47FD-9C8E-2A3403579945}"/>
              </c:ext>
            </c:extLst>
          </c:dPt>
          <c:cat>
            <c:strRef>
              <c:f>'Walking count in urban areas'!$A$2:$A$4</c:f>
              <c:strCache>
                <c:ptCount val="3"/>
                <c:pt idx="0">
                  <c:v>Auckland</c:v>
                </c:pt>
                <c:pt idx="1">
                  <c:v>Wellington</c:v>
                </c:pt>
                <c:pt idx="2">
                  <c:v>Christchurch</c:v>
                </c:pt>
              </c:strCache>
            </c:strRef>
          </c:cat>
          <c:val>
            <c:numRef>
              <c:f>'Walking count in urban areas'!$B$2:$B$4</c:f>
              <c:numCache>
                <c:formatCode>#,##0</c:formatCode>
                <c:ptCount val="3"/>
                <c:pt idx="0">
                  <c:v>717161</c:v>
                </c:pt>
                <c:pt idx="1">
                  <c:v>1037912</c:v>
                </c:pt>
                <c:pt idx="2">
                  <c:v>1784174</c:v>
                </c:pt>
              </c:numCache>
            </c:numRef>
          </c:val>
          <c:extLst>
            <c:ext xmlns:c16="http://schemas.microsoft.com/office/drawing/2014/chart" uri="{C3380CC4-5D6E-409C-BE32-E72D297353CC}">
              <c16:uniqueId val="{00000004-E7E9-47FD-9C8E-2A3403579945}"/>
            </c:ext>
          </c:extLst>
        </c:ser>
        <c:dLbls>
          <c:showLegendKey val="0"/>
          <c:showVal val="0"/>
          <c:showCatName val="0"/>
          <c:showSerName val="0"/>
          <c:showPercent val="0"/>
          <c:showBubbleSize val="0"/>
        </c:dLbls>
        <c:gapWidth val="219"/>
        <c:overlap val="-27"/>
        <c:axId val="437926623"/>
        <c:axId val="437917887"/>
      </c:barChart>
      <c:catAx>
        <c:axId val="43792662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2019/20</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917887"/>
        <c:crosses val="autoZero"/>
        <c:auto val="1"/>
        <c:lblAlgn val="ctr"/>
        <c:lblOffset val="100"/>
        <c:noMultiLvlLbl val="0"/>
      </c:catAx>
      <c:valAx>
        <c:axId val="43791788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9266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Cycling Count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'cycling count'!$A$2</c:f>
              <c:strCache>
                <c:ptCount val="1"/>
                <c:pt idx="0">
                  <c:v>Auckland</c:v>
                </c:pt>
              </c:strCache>
            </c:strRef>
          </c:tx>
          <c:spPr>
            <a:solidFill>
              <a:srgbClr val="00A9EF"/>
            </a:solidFill>
            <a:ln>
              <a:noFill/>
            </a:ln>
            <a:effectLst/>
          </c:spPr>
          <c:invertIfNegative val="0"/>
          <c:cat>
            <c:strRef>
              <c:f>'cycling count'!$B$1:$F$1</c:f>
              <c:strCache>
                <c:ptCount val="5"/>
                <c:pt idx="0">
                  <c:v>2015/16</c:v>
                </c:pt>
                <c:pt idx="1">
                  <c:v>2016/17</c:v>
                </c:pt>
                <c:pt idx="2">
                  <c:v>2017/18</c:v>
                </c:pt>
                <c:pt idx="3">
                  <c:v>2018/19</c:v>
                </c:pt>
                <c:pt idx="4">
                  <c:v>2019/20</c:v>
                </c:pt>
              </c:strCache>
            </c:strRef>
          </c:cat>
          <c:val>
            <c:numRef>
              <c:f>'cycling count'!$B$2:$F$2</c:f>
              <c:numCache>
                <c:formatCode>#,##0</c:formatCode>
                <c:ptCount val="5"/>
                <c:pt idx="0">
                  <c:v>1944</c:v>
                </c:pt>
                <c:pt idx="1">
                  <c:v>1881</c:v>
                </c:pt>
                <c:pt idx="2">
                  <c:v>1944</c:v>
                </c:pt>
                <c:pt idx="3">
                  <c:v>2009</c:v>
                </c:pt>
                <c:pt idx="4">
                  <c:v>2021</c:v>
                </c:pt>
              </c:numCache>
            </c:numRef>
          </c:val>
          <c:extLst>
            <c:ext xmlns:c16="http://schemas.microsoft.com/office/drawing/2014/chart" uri="{C3380CC4-5D6E-409C-BE32-E72D297353CC}">
              <c16:uniqueId val="{00000000-B450-411B-BF67-3B078CAB3C09}"/>
            </c:ext>
          </c:extLst>
        </c:ser>
        <c:ser>
          <c:idx val="1"/>
          <c:order val="1"/>
          <c:tx>
            <c:strRef>
              <c:f>'cycling count'!$A$3</c:f>
              <c:strCache>
                <c:ptCount val="1"/>
                <c:pt idx="0">
                  <c:v>Wellington</c:v>
                </c:pt>
              </c:strCache>
            </c:strRef>
          </c:tx>
          <c:spPr>
            <a:solidFill>
              <a:srgbClr val="00938C"/>
            </a:solidFill>
            <a:ln>
              <a:noFill/>
            </a:ln>
            <a:effectLst/>
          </c:spPr>
          <c:invertIfNegative val="0"/>
          <c:cat>
            <c:strRef>
              <c:f>'cycling count'!$B$1:$F$1</c:f>
              <c:strCache>
                <c:ptCount val="5"/>
                <c:pt idx="0">
                  <c:v>2015/16</c:v>
                </c:pt>
                <c:pt idx="1">
                  <c:v>2016/17</c:v>
                </c:pt>
                <c:pt idx="2">
                  <c:v>2017/18</c:v>
                </c:pt>
                <c:pt idx="3">
                  <c:v>2018/19</c:v>
                </c:pt>
                <c:pt idx="4">
                  <c:v>2019/20</c:v>
                </c:pt>
              </c:strCache>
            </c:strRef>
          </c:cat>
          <c:val>
            <c:numRef>
              <c:f>'cycling count'!$B$3:$F$3</c:f>
              <c:numCache>
                <c:formatCode>#,##0</c:formatCode>
                <c:ptCount val="5"/>
                <c:pt idx="0">
                  <c:v>2260</c:v>
                </c:pt>
                <c:pt idx="1">
                  <c:v>2150</c:v>
                </c:pt>
                <c:pt idx="2">
                  <c:v>2264</c:v>
                </c:pt>
                <c:pt idx="3">
                  <c:v>2360</c:v>
                </c:pt>
                <c:pt idx="4">
                  <c:v>2473</c:v>
                </c:pt>
              </c:numCache>
            </c:numRef>
          </c:val>
          <c:extLst>
            <c:ext xmlns:c16="http://schemas.microsoft.com/office/drawing/2014/chart" uri="{C3380CC4-5D6E-409C-BE32-E72D297353CC}">
              <c16:uniqueId val="{00000001-B450-411B-BF67-3B078CAB3C09}"/>
            </c:ext>
          </c:extLst>
        </c:ser>
        <c:ser>
          <c:idx val="2"/>
          <c:order val="2"/>
          <c:tx>
            <c:strRef>
              <c:f>'cycling count'!$A$4</c:f>
              <c:strCache>
                <c:ptCount val="1"/>
                <c:pt idx="0">
                  <c:v>Christchurch</c:v>
                </c:pt>
              </c:strCache>
            </c:strRef>
          </c:tx>
          <c:spPr>
            <a:solidFill>
              <a:srgbClr val="3BA933"/>
            </a:solidFill>
            <a:ln>
              <a:noFill/>
            </a:ln>
            <a:effectLst/>
          </c:spPr>
          <c:invertIfNegative val="0"/>
          <c:cat>
            <c:strRef>
              <c:f>'cycling count'!$B$1:$F$1</c:f>
              <c:strCache>
                <c:ptCount val="5"/>
                <c:pt idx="0">
                  <c:v>2015/16</c:v>
                </c:pt>
                <c:pt idx="1">
                  <c:v>2016/17</c:v>
                </c:pt>
                <c:pt idx="2">
                  <c:v>2017/18</c:v>
                </c:pt>
                <c:pt idx="3">
                  <c:v>2018/19</c:v>
                </c:pt>
                <c:pt idx="4">
                  <c:v>2019/20</c:v>
                </c:pt>
              </c:strCache>
            </c:strRef>
          </c:cat>
          <c:val>
            <c:numRef>
              <c:f>'cycling count'!$B$4:$F$4</c:f>
              <c:numCache>
                <c:formatCode>#,##0</c:formatCode>
                <c:ptCount val="5"/>
                <c:pt idx="0">
                  <c:v>1251</c:v>
                </c:pt>
                <c:pt idx="1">
                  <c:v>1382</c:v>
                </c:pt>
                <c:pt idx="2">
                  <c:v>1397</c:v>
                </c:pt>
                <c:pt idx="3">
                  <c:v>1869</c:v>
                </c:pt>
                <c:pt idx="4">
                  <c:v>2234</c:v>
                </c:pt>
              </c:numCache>
            </c:numRef>
          </c:val>
          <c:extLst>
            <c:ext xmlns:c16="http://schemas.microsoft.com/office/drawing/2014/chart" uri="{C3380CC4-5D6E-409C-BE32-E72D297353CC}">
              <c16:uniqueId val="{00000002-B450-411B-BF67-3B078CAB3C09}"/>
            </c:ext>
          </c:extLst>
        </c:ser>
        <c:dLbls>
          <c:showLegendKey val="0"/>
          <c:showVal val="0"/>
          <c:showCatName val="0"/>
          <c:showSerName val="0"/>
          <c:showPercent val="0"/>
          <c:showBubbleSize val="0"/>
        </c:dLbls>
        <c:gapWidth val="219"/>
        <c:overlap val="-27"/>
        <c:axId val="179962927"/>
        <c:axId val="179963343"/>
      </c:barChart>
      <c:catAx>
        <c:axId val="179962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963343"/>
        <c:crosses val="autoZero"/>
        <c:auto val="1"/>
        <c:lblAlgn val="ctr"/>
        <c:lblOffset val="100"/>
        <c:noMultiLvlLbl val="0"/>
      </c:catAx>
      <c:valAx>
        <c:axId val="1799633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9629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Access to public transport</a:t>
            </a:r>
            <a:r>
              <a:rPr lang="en-NZ" baseline="0"/>
              <a:t> services</a:t>
            </a:r>
            <a:endParaRPr lang="en-N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'access to PT '!$B$1</c:f>
              <c:strCache>
                <c:ptCount val="1"/>
                <c:pt idx="0">
                  <c:v>2017/18</c:v>
                </c:pt>
              </c:strCache>
            </c:strRef>
          </c:tx>
          <c:spPr>
            <a:solidFill>
              <a:srgbClr val="00A9EF"/>
            </a:solidFill>
            <a:ln>
              <a:noFill/>
            </a:ln>
            <a:effectLst/>
          </c:spPr>
          <c:invertIfNegative val="0"/>
          <c:cat>
            <c:strRef>
              <c:f>'access to PT '!$A$2:$A$4</c:f>
              <c:strCache>
                <c:ptCount val="3"/>
                <c:pt idx="0">
                  <c:v>Auckland</c:v>
                </c:pt>
                <c:pt idx="1">
                  <c:v>Wellington</c:v>
                </c:pt>
                <c:pt idx="2">
                  <c:v>Christchurch</c:v>
                </c:pt>
              </c:strCache>
            </c:strRef>
          </c:cat>
          <c:val>
            <c:numRef>
              <c:f>'access to PT '!$B$2:$B$4</c:f>
              <c:numCache>
                <c:formatCode>0.00%</c:formatCode>
                <c:ptCount val="3"/>
                <c:pt idx="0">
                  <c:v>0.29899999999999999</c:v>
                </c:pt>
                <c:pt idx="1">
                  <c:v>0.17599999999999999</c:v>
                </c:pt>
                <c:pt idx="2">
                  <c:v>0.217</c:v>
                </c:pt>
              </c:numCache>
            </c:numRef>
          </c:val>
          <c:extLst>
            <c:ext xmlns:c16="http://schemas.microsoft.com/office/drawing/2014/chart" uri="{C3380CC4-5D6E-409C-BE32-E72D297353CC}">
              <c16:uniqueId val="{00000000-3749-47DD-9129-EF0155B4772D}"/>
            </c:ext>
          </c:extLst>
        </c:ser>
        <c:ser>
          <c:idx val="1"/>
          <c:order val="1"/>
          <c:tx>
            <c:strRef>
              <c:f>'access to PT '!$C$1</c:f>
              <c:strCache>
                <c:ptCount val="1"/>
                <c:pt idx="0">
                  <c:v>2018/19</c:v>
                </c:pt>
              </c:strCache>
            </c:strRef>
          </c:tx>
          <c:spPr>
            <a:solidFill>
              <a:srgbClr val="00938C"/>
            </a:solidFill>
            <a:ln>
              <a:noFill/>
            </a:ln>
            <a:effectLst/>
          </c:spPr>
          <c:invertIfNegative val="0"/>
          <c:cat>
            <c:strRef>
              <c:f>'access to PT '!$A$2:$A$4</c:f>
              <c:strCache>
                <c:ptCount val="3"/>
                <c:pt idx="0">
                  <c:v>Auckland</c:v>
                </c:pt>
                <c:pt idx="1">
                  <c:v>Wellington</c:v>
                </c:pt>
                <c:pt idx="2">
                  <c:v>Christchurch</c:v>
                </c:pt>
              </c:strCache>
            </c:strRef>
          </c:cat>
          <c:val>
            <c:numRef>
              <c:f>'access to PT '!$C$2:$C$4</c:f>
              <c:numCache>
                <c:formatCode>0.00%</c:formatCode>
                <c:ptCount val="3"/>
                <c:pt idx="0">
                  <c:v>0.30199999999999999</c:v>
                </c:pt>
                <c:pt idx="1">
                  <c:v>0.157</c:v>
                </c:pt>
                <c:pt idx="2">
                  <c:v>0.218</c:v>
                </c:pt>
              </c:numCache>
            </c:numRef>
          </c:val>
          <c:extLst>
            <c:ext xmlns:c16="http://schemas.microsoft.com/office/drawing/2014/chart" uri="{C3380CC4-5D6E-409C-BE32-E72D297353CC}">
              <c16:uniqueId val="{00000001-3749-47DD-9129-EF0155B4772D}"/>
            </c:ext>
          </c:extLst>
        </c:ser>
        <c:ser>
          <c:idx val="2"/>
          <c:order val="2"/>
          <c:tx>
            <c:strRef>
              <c:f>'access to PT '!$D$1</c:f>
              <c:strCache>
                <c:ptCount val="1"/>
                <c:pt idx="0">
                  <c:v>2019/20</c:v>
                </c:pt>
              </c:strCache>
            </c:strRef>
          </c:tx>
          <c:spPr>
            <a:solidFill>
              <a:srgbClr val="3BA933"/>
            </a:solidFill>
            <a:ln>
              <a:noFill/>
            </a:ln>
            <a:effectLst/>
          </c:spPr>
          <c:invertIfNegative val="0"/>
          <c:cat>
            <c:strRef>
              <c:f>'access to PT '!$A$2:$A$4</c:f>
              <c:strCache>
                <c:ptCount val="3"/>
                <c:pt idx="0">
                  <c:v>Auckland</c:v>
                </c:pt>
                <c:pt idx="1">
                  <c:v>Wellington</c:v>
                </c:pt>
                <c:pt idx="2">
                  <c:v>Christchurch</c:v>
                </c:pt>
              </c:strCache>
            </c:strRef>
          </c:cat>
          <c:val>
            <c:numRef>
              <c:f>'access to PT '!$D$2:$D$4</c:f>
              <c:numCache>
                <c:formatCode>0.00%</c:formatCode>
                <c:ptCount val="3"/>
                <c:pt idx="0">
                  <c:v>0.27400000000000002</c:v>
                </c:pt>
                <c:pt idx="1">
                  <c:v>0.14899999999999999</c:v>
                </c:pt>
                <c:pt idx="2">
                  <c:v>0.217</c:v>
                </c:pt>
              </c:numCache>
            </c:numRef>
          </c:val>
          <c:extLst>
            <c:ext xmlns:c16="http://schemas.microsoft.com/office/drawing/2014/chart" uri="{C3380CC4-5D6E-409C-BE32-E72D297353CC}">
              <c16:uniqueId val="{00000002-3749-47DD-9129-EF0155B4772D}"/>
            </c:ext>
          </c:extLst>
        </c:ser>
        <c:dLbls>
          <c:showLegendKey val="0"/>
          <c:showVal val="0"/>
          <c:showCatName val="0"/>
          <c:showSerName val="0"/>
          <c:showPercent val="0"/>
          <c:showBubbleSize val="0"/>
        </c:dLbls>
        <c:gapWidth val="219"/>
        <c:overlap val="-27"/>
        <c:axId val="186645471"/>
        <c:axId val="186645887"/>
      </c:barChart>
      <c:catAx>
        <c:axId val="1866454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645887"/>
        <c:crosses val="autoZero"/>
        <c:auto val="1"/>
        <c:lblAlgn val="ctr"/>
        <c:lblOffset val="100"/>
        <c:noMultiLvlLbl val="0"/>
      </c:catAx>
      <c:valAx>
        <c:axId val="18664588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6454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Household spend on public transport by income bracket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rgbClr val="00A9EF"/>
            </a:solidFill>
            <a:ln>
              <a:noFill/>
            </a:ln>
            <a:effectLst/>
          </c:spPr>
          <c:invertIfNegative val="0"/>
          <c:dPt>
            <c:idx val="0"/>
            <c:invertIfNegative val="0"/>
            <c:bubble3D val="0"/>
            <c:spPr>
              <a:solidFill>
                <a:srgbClr val="F69E00"/>
              </a:solidFill>
              <a:ln>
                <a:noFill/>
              </a:ln>
              <a:effectLst/>
            </c:spPr>
            <c:extLst>
              <c:ext xmlns:c16="http://schemas.microsoft.com/office/drawing/2014/chart" uri="{C3380CC4-5D6E-409C-BE32-E72D297353CC}">
                <c16:uniqueId val="{00000001-4FC0-49E2-99C1-F4F4782CF2BB}"/>
              </c:ext>
            </c:extLst>
          </c:dPt>
          <c:dPt>
            <c:idx val="1"/>
            <c:invertIfNegative val="0"/>
            <c:bubble3D val="0"/>
            <c:spPr>
              <a:solidFill>
                <a:srgbClr val="B4D012"/>
              </a:solidFill>
              <a:ln>
                <a:noFill/>
              </a:ln>
              <a:effectLst/>
            </c:spPr>
            <c:extLst>
              <c:ext xmlns:c16="http://schemas.microsoft.com/office/drawing/2014/chart" uri="{C3380CC4-5D6E-409C-BE32-E72D297353CC}">
                <c16:uniqueId val="{00000003-4FC0-49E2-99C1-F4F4782CF2BB}"/>
              </c:ext>
            </c:extLst>
          </c:dPt>
          <c:dPt>
            <c:idx val="2"/>
            <c:invertIfNegative val="0"/>
            <c:bubble3D val="0"/>
            <c:spPr>
              <a:solidFill>
                <a:srgbClr val="3BA933"/>
              </a:solidFill>
              <a:ln>
                <a:noFill/>
              </a:ln>
              <a:effectLst/>
            </c:spPr>
            <c:extLst>
              <c:ext xmlns:c16="http://schemas.microsoft.com/office/drawing/2014/chart" uri="{C3380CC4-5D6E-409C-BE32-E72D297353CC}">
                <c16:uniqueId val="{00000005-4FC0-49E2-99C1-F4F4782CF2BB}"/>
              </c:ext>
            </c:extLst>
          </c:dPt>
          <c:dPt>
            <c:idx val="3"/>
            <c:invertIfNegative val="0"/>
            <c:bubble3D val="0"/>
            <c:spPr>
              <a:solidFill>
                <a:srgbClr val="00938C"/>
              </a:solidFill>
              <a:ln>
                <a:noFill/>
              </a:ln>
              <a:effectLst/>
            </c:spPr>
            <c:extLst>
              <c:ext xmlns:c16="http://schemas.microsoft.com/office/drawing/2014/chart" uri="{C3380CC4-5D6E-409C-BE32-E72D297353CC}">
                <c16:uniqueId val="{00000007-4FC0-49E2-99C1-F4F4782CF2BB}"/>
              </c:ext>
            </c:extLst>
          </c:dPt>
          <c:cat>
            <c:strRef>
              <c:f>'household spend'!$A$1:$E$1</c:f>
              <c:strCache>
                <c:ptCount val="5"/>
                <c:pt idx="0">
                  <c:v>Quintile 1 (lowest quintile)</c:v>
                </c:pt>
                <c:pt idx="1">
                  <c:v>Quintile 2</c:v>
                </c:pt>
                <c:pt idx="2">
                  <c:v>Quintile 3</c:v>
                </c:pt>
                <c:pt idx="3">
                  <c:v>Quintile 4</c:v>
                </c:pt>
                <c:pt idx="4">
                  <c:v>Quintile 5 (highest quintile)</c:v>
                </c:pt>
              </c:strCache>
            </c:strRef>
          </c:cat>
          <c:val>
            <c:numRef>
              <c:f>'household spend'!$A$2:$E$2</c:f>
              <c:numCache>
                <c:formatCode>0.00%</c:formatCode>
                <c:ptCount val="5"/>
                <c:pt idx="0">
                  <c:v>3.0000000000000001E-3</c:v>
                </c:pt>
                <c:pt idx="1">
                  <c:v>3.0000000000000001E-3</c:v>
                </c:pt>
                <c:pt idx="2">
                  <c:v>2E-3</c:v>
                </c:pt>
                <c:pt idx="3">
                  <c:v>2E-3</c:v>
                </c:pt>
                <c:pt idx="4">
                  <c:v>2E-3</c:v>
                </c:pt>
              </c:numCache>
            </c:numRef>
          </c:val>
          <c:extLst>
            <c:ext xmlns:c16="http://schemas.microsoft.com/office/drawing/2014/chart" uri="{C3380CC4-5D6E-409C-BE32-E72D297353CC}">
              <c16:uniqueId val="{00000008-4FC0-49E2-99C1-F4F4782CF2BB}"/>
            </c:ext>
          </c:extLst>
        </c:ser>
        <c:dLbls>
          <c:showLegendKey val="0"/>
          <c:showVal val="0"/>
          <c:showCatName val="0"/>
          <c:showSerName val="0"/>
          <c:showPercent val="0"/>
          <c:showBubbleSize val="0"/>
        </c:dLbls>
        <c:gapWidth val="182"/>
        <c:axId val="179985215"/>
        <c:axId val="179982719"/>
      </c:barChart>
      <c:catAx>
        <c:axId val="17998521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982719"/>
        <c:crosses val="autoZero"/>
        <c:auto val="1"/>
        <c:lblAlgn val="ctr"/>
        <c:lblOffset val="100"/>
        <c:noMultiLvlLbl val="0"/>
      </c:catAx>
      <c:valAx>
        <c:axId val="179982719"/>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98521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National</a:t>
            </a:r>
            <a:r>
              <a:rPr lang="en-NZ" baseline="0"/>
              <a:t> PT boardings</a:t>
            </a:r>
            <a:endParaRPr lang="en-N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rgbClr val="00A9EF"/>
            </a:solidFill>
            <a:ln>
              <a:noFill/>
            </a:ln>
            <a:effectLst/>
          </c:spPr>
          <c:invertIfNegative val="0"/>
          <c:dPt>
            <c:idx val="1"/>
            <c:invertIfNegative val="0"/>
            <c:bubble3D val="0"/>
            <c:spPr>
              <a:solidFill>
                <a:srgbClr val="00938C"/>
              </a:solidFill>
              <a:ln>
                <a:noFill/>
              </a:ln>
              <a:effectLst/>
            </c:spPr>
            <c:extLst>
              <c:ext xmlns:c16="http://schemas.microsoft.com/office/drawing/2014/chart" uri="{C3380CC4-5D6E-409C-BE32-E72D297353CC}">
                <c16:uniqueId val="{00000001-2031-4EA4-89AA-4BAC7CFCA2BA}"/>
              </c:ext>
            </c:extLst>
          </c:dPt>
          <c:dPt>
            <c:idx val="2"/>
            <c:invertIfNegative val="0"/>
            <c:bubble3D val="0"/>
            <c:spPr>
              <a:solidFill>
                <a:srgbClr val="3BA933"/>
              </a:solidFill>
              <a:ln>
                <a:noFill/>
              </a:ln>
              <a:effectLst/>
            </c:spPr>
            <c:extLst>
              <c:ext xmlns:c16="http://schemas.microsoft.com/office/drawing/2014/chart" uri="{C3380CC4-5D6E-409C-BE32-E72D297353CC}">
                <c16:uniqueId val="{00000003-2031-4EA4-89AA-4BAC7CFCA2BA}"/>
              </c:ext>
            </c:extLst>
          </c:dPt>
          <c:dPt>
            <c:idx val="3"/>
            <c:invertIfNegative val="0"/>
            <c:bubble3D val="0"/>
            <c:spPr>
              <a:solidFill>
                <a:srgbClr val="B4D012"/>
              </a:solidFill>
              <a:ln>
                <a:noFill/>
              </a:ln>
              <a:effectLst/>
            </c:spPr>
            <c:extLst>
              <c:ext xmlns:c16="http://schemas.microsoft.com/office/drawing/2014/chart" uri="{C3380CC4-5D6E-409C-BE32-E72D297353CC}">
                <c16:uniqueId val="{00000005-2031-4EA4-89AA-4BAC7CFCA2BA}"/>
              </c:ext>
            </c:extLst>
          </c:dPt>
          <c:dPt>
            <c:idx val="4"/>
            <c:invertIfNegative val="0"/>
            <c:bubble3D val="0"/>
            <c:spPr>
              <a:solidFill>
                <a:srgbClr val="F69E00"/>
              </a:solidFill>
              <a:ln>
                <a:noFill/>
              </a:ln>
              <a:effectLst/>
            </c:spPr>
            <c:extLst>
              <c:ext xmlns:c16="http://schemas.microsoft.com/office/drawing/2014/chart" uri="{C3380CC4-5D6E-409C-BE32-E72D297353CC}">
                <c16:uniqueId val="{00000007-2031-4EA4-89AA-4BAC7CFCA2BA}"/>
              </c:ext>
            </c:extLst>
          </c:dPt>
          <c:cat>
            <c:strRef>
              <c:f>'PT Patronage'!$B$1:$F$1</c:f>
              <c:strCache>
                <c:ptCount val="5"/>
                <c:pt idx="0">
                  <c:v>2015/16</c:v>
                </c:pt>
                <c:pt idx="1">
                  <c:v>2016/17</c:v>
                </c:pt>
                <c:pt idx="2">
                  <c:v>2017/18</c:v>
                </c:pt>
                <c:pt idx="3">
                  <c:v>2018/19</c:v>
                </c:pt>
                <c:pt idx="4">
                  <c:v>2019/20</c:v>
                </c:pt>
              </c:strCache>
            </c:strRef>
          </c:cat>
          <c:val>
            <c:numRef>
              <c:f>'PT Patronage'!$B$16:$F$16</c:f>
              <c:numCache>
                <c:formatCode>#,##0</c:formatCode>
                <c:ptCount val="5"/>
                <c:pt idx="0">
                  <c:v>147995514</c:v>
                </c:pt>
                <c:pt idx="1">
                  <c:v>153096489</c:v>
                </c:pt>
                <c:pt idx="2">
                  <c:v>158448040</c:v>
                </c:pt>
                <c:pt idx="3">
                  <c:v>168330200</c:v>
                </c:pt>
                <c:pt idx="4">
                  <c:v>138803111</c:v>
                </c:pt>
              </c:numCache>
            </c:numRef>
          </c:val>
          <c:extLst>
            <c:ext xmlns:c16="http://schemas.microsoft.com/office/drawing/2014/chart" uri="{C3380CC4-5D6E-409C-BE32-E72D297353CC}">
              <c16:uniqueId val="{00000008-2031-4EA4-89AA-4BAC7CFCA2BA}"/>
            </c:ext>
          </c:extLst>
        </c:ser>
        <c:dLbls>
          <c:showLegendKey val="0"/>
          <c:showVal val="0"/>
          <c:showCatName val="0"/>
          <c:showSerName val="0"/>
          <c:showPercent val="0"/>
          <c:showBubbleSize val="0"/>
        </c:dLbls>
        <c:gapWidth val="219"/>
        <c:overlap val="-27"/>
        <c:axId val="758628463"/>
        <c:axId val="758630127"/>
      </c:barChart>
      <c:catAx>
        <c:axId val="758628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8630127"/>
        <c:crosses val="autoZero"/>
        <c:auto val="1"/>
        <c:lblAlgn val="ctr"/>
        <c:lblOffset val="100"/>
        <c:noMultiLvlLbl val="0"/>
      </c:catAx>
      <c:valAx>
        <c:axId val="75863012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86284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Auckland PT boardings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'PT Patronage'!$A$3</c:f>
              <c:strCache>
                <c:ptCount val="1"/>
                <c:pt idx="0">
                  <c:v>Auckland</c:v>
                </c:pt>
              </c:strCache>
            </c:strRef>
          </c:tx>
          <c:spPr>
            <a:solidFill>
              <a:srgbClr val="00A9EF"/>
            </a:solidFill>
            <a:ln>
              <a:noFill/>
            </a:ln>
            <a:effectLst/>
          </c:spPr>
          <c:invertIfNegative val="0"/>
          <c:dPt>
            <c:idx val="1"/>
            <c:invertIfNegative val="0"/>
            <c:bubble3D val="0"/>
            <c:spPr>
              <a:solidFill>
                <a:srgbClr val="00938C"/>
              </a:solidFill>
              <a:ln>
                <a:noFill/>
              </a:ln>
              <a:effectLst/>
            </c:spPr>
            <c:extLst>
              <c:ext xmlns:c16="http://schemas.microsoft.com/office/drawing/2014/chart" uri="{C3380CC4-5D6E-409C-BE32-E72D297353CC}">
                <c16:uniqueId val="{00000001-6BF7-4128-B95E-967C19A9E316}"/>
              </c:ext>
            </c:extLst>
          </c:dPt>
          <c:dPt>
            <c:idx val="2"/>
            <c:invertIfNegative val="0"/>
            <c:bubble3D val="0"/>
            <c:spPr>
              <a:solidFill>
                <a:srgbClr val="3BA933"/>
              </a:solidFill>
              <a:ln>
                <a:noFill/>
              </a:ln>
              <a:effectLst/>
            </c:spPr>
            <c:extLst>
              <c:ext xmlns:c16="http://schemas.microsoft.com/office/drawing/2014/chart" uri="{C3380CC4-5D6E-409C-BE32-E72D297353CC}">
                <c16:uniqueId val="{00000003-6BF7-4128-B95E-967C19A9E316}"/>
              </c:ext>
            </c:extLst>
          </c:dPt>
          <c:dPt>
            <c:idx val="3"/>
            <c:invertIfNegative val="0"/>
            <c:bubble3D val="0"/>
            <c:spPr>
              <a:solidFill>
                <a:srgbClr val="B4D012"/>
              </a:solidFill>
              <a:ln>
                <a:noFill/>
              </a:ln>
              <a:effectLst/>
            </c:spPr>
            <c:extLst>
              <c:ext xmlns:c16="http://schemas.microsoft.com/office/drawing/2014/chart" uri="{C3380CC4-5D6E-409C-BE32-E72D297353CC}">
                <c16:uniqueId val="{00000005-6BF7-4128-B95E-967C19A9E316}"/>
              </c:ext>
            </c:extLst>
          </c:dPt>
          <c:dPt>
            <c:idx val="4"/>
            <c:invertIfNegative val="0"/>
            <c:bubble3D val="0"/>
            <c:spPr>
              <a:solidFill>
                <a:srgbClr val="F69E00"/>
              </a:solidFill>
              <a:ln>
                <a:noFill/>
              </a:ln>
              <a:effectLst/>
            </c:spPr>
            <c:extLst>
              <c:ext xmlns:c16="http://schemas.microsoft.com/office/drawing/2014/chart" uri="{C3380CC4-5D6E-409C-BE32-E72D297353CC}">
                <c16:uniqueId val="{00000007-6BF7-4128-B95E-967C19A9E316}"/>
              </c:ext>
            </c:extLst>
          </c:dPt>
          <c:cat>
            <c:strRef>
              <c:f>'PT Patronage'!$B$1:$F$1</c:f>
              <c:strCache>
                <c:ptCount val="5"/>
                <c:pt idx="0">
                  <c:v>2015/16</c:v>
                </c:pt>
                <c:pt idx="1">
                  <c:v>2016/17</c:v>
                </c:pt>
                <c:pt idx="2">
                  <c:v>2017/18</c:v>
                </c:pt>
                <c:pt idx="3">
                  <c:v>2018/19</c:v>
                </c:pt>
                <c:pt idx="4">
                  <c:v>2019/20</c:v>
                </c:pt>
              </c:strCache>
            </c:strRef>
          </c:cat>
          <c:val>
            <c:numRef>
              <c:f>'PT Patronage'!$B$3:$F$3</c:f>
              <c:numCache>
                <c:formatCode>#,##0</c:formatCode>
                <c:ptCount val="5"/>
                <c:pt idx="0">
                  <c:v>82904160</c:v>
                </c:pt>
                <c:pt idx="1">
                  <c:v>88441958</c:v>
                </c:pt>
                <c:pt idx="2">
                  <c:v>92352781</c:v>
                </c:pt>
                <c:pt idx="3">
                  <c:v>100748898</c:v>
                </c:pt>
                <c:pt idx="4">
                  <c:v>82290181</c:v>
                </c:pt>
              </c:numCache>
            </c:numRef>
          </c:val>
          <c:extLst>
            <c:ext xmlns:c16="http://schemas.microsoft.com/office/drawing/2014/chart" uri="{C3380CC4-5D6E-409C-BE32-E72D297353CC}">
              <c16:uniqueId val="{00000008-6BF7-4128-B95E-967C19A9E316}"/>
            </c:ext>
          </c:extLst>
        </c:ser>
        <c:dLbls>
          <c:showLegendKey val="0"/>
          <c:showVal val="0"/>
          <c:showCatName val="0"/>
          <c:showSerName val="0"/>
          <c:showPercent val="0"/>
          <c:showBubbleSize val="0"/>
        </c:dLbls>
        <c:gapWidth val="219"/>
        <c:overlap val="-27"/>
        <c:axId val="765459327"/>
        <c:axId val="765459743"/>
      </c:barChart>
      <c:catAx>
        <c:axId val="7654593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5459743"/>
        <c:crosses val="autoZero"/>
        <c:auto val="1"/>
        <c:lblAlgn val="ctr"/>
        <c:lblOffset val="100"/>
        <c:noMultiLvlLbl val="0"/>
      </c:catAx>
      <c:valAx>
        <c:axId val="7654597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54593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Wellington PT Boardings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'PT Patronage'!$A$10</c:f>
              <c:strCache>
                <c:ptCount val="1"/>
                <c:pt idx="0">
                  <c:v>Wellington</c:v>
                </c:pt>
              </c:strCache>
            </c:strRef>
          </c:tx>
          <c:spPr>
            <a:solidFill>
              <a:srgbClr val="00A9EF"/>
            </a:solidFill>
            <a:ln>
              <a:noFill/>
            </a:ln>
            <a:effectLst/>
          </c:spPr>
          <c:invertIfNegative val="0"/>
          <c:dPt>
            <c:idx val="1"/>
            <c:invertIfNegative val="0"/>
            <c:bubble3D val="0"/>
            <c:spPr>
              <a:solidFill>
                <a:srgbClr val="00938C"/>
              </a:solidFill>
              <a:ln>
                <a:noFill/>
              </a:ln>
              <a:effectLst/>
            </c:spPr>
            <c:extLst>
              <c:ext xmlns:c16="http://schemas.microsoft.com/office/drawing/2014/chart" uri="{C3380CC4-5D6E-409C-BE32-E72D297353CC}">
                <c16:uniqueId val="{00000001-37FD-42FC-8D2F-42A9F27393CC}"/>
              </c:ext>
            </c:extLst>
          </c:dPt>
          <c:dPt>
            <c:idx val="2"/>
            <c:invertIfNegative val="0"/>
            <c:bubble3D val="0"/>
            <c:spPr>
              <a:solidFill>
                <a:srgbClr val="3BA933"/>
              </a:solidFill>
              <a:ln>
                <a:noFill/>
              </a:ln>
              <a:effectLst/>
            </c:spPr>
            <c:extLst>
              <c:ext xmlns:c16="http://schemas.microsoft.com/office/drawing/2014/chart" uri="{C3380CC4-5D6E-409C-BE32-E72D297353CC}">
                <c16:uniqueId val="{00000003-37FD-42FC-8D2F-42A9F27393CC}"/>
              </c:ext>
            </c:extLst>
          </c:dPt>
          <c:dPt>
            <c:idx val="3"/>
            <c:invertIfNegative val="0"/>
            <c:bubble3D val="0"/>
            <c:spPr>
              <a:solidFill>
                <a:srgbClr val="B4D012"/>
              </a:solidFill>
              <a:ln>
                <a:noFill/>
              </a:ln>
              <a:effectLst/>
            </c:spPr>
            <c:extLst>
              <c:ext xmlns:c16="http://schemas.microsoft.com/office/drawing/2014/chart" uri="{C3380CC4-5D6E-409C-BE32-E72D297353CC}">
                <c16:uniqueId val="{00000005-37FD-42FC-8D2F-42A9F27393CC}"/>
              </c:ext>
            </c:extLst>
          </c:dPt>
          <c:dPt>
            <c:idx val="4"/>
            <c:invertIfNegative val="0"/>
            <c:bubble3D val="0"/>
            <c:spPr>
              <a:solidFill>
                <a:srgbClr val="F69E00"/>
              </a:solidFill>
              <a:ln>
                <a:noFill/>
              </a:ln>
              <a:effectLst/>
            </c:spPr>
            <c:extLst>
              <c:ext xmlns:c16="http://schemas.microsoft.com/office/drawing/2014/chart" uri="{C3380CC4-5D6E-409C-BE32-E72D297353CC}">
                <c16:uniqueId val="{00000007-37FD-42FC-8D2F-42A9F27393CC}"/>
              </c:ext>
            </c:extLst>
          </c:dPt>
          <c:cat>
            <c:strRef>
              <c:f>'PT Patronage'!$B$1:$F$1</c:f>
              <c:strCache>
                <c:ptCount val="5"/>
                <c:pt idx="0">
                  <c:v>2015/16</c:v>
                </c:pt>
                <c:pt idx="1">
                  <c:v>2016/17</c:v>
                </c:pt>
                <c:pt idx="2">
                  <c:v>2017/18</c:v>
                </c:pt>
                <c:pt idx="3">
                  <c:v>2018/19</c:v>
                </c:pt>
                <c:pt idx="4">
                  <c:v>2019/20</c:v>
                </c:pt>
              </c:strCache>
            </c:strRef>
          </c:cat>
          <c:val>
            <c:numRef>
              <c:f>'PT Patronage'!$B$10:$F$10</c:f>
              <c:numCache>
                <c:formatCode>#,##0</c:formatCode>
                <c:ptCount val="5"/>
                <c:pt idx="0">
                  <c:v>37330479</c:v>
                </c:pt>
                <c:pt idx="1">
                  <c:v>37754749</c:v>
                </c:pt>
                <c:pt idx="2">
                  <c:v>38473692</c:v>
                </c:pt>
                <c:pt idx="3">
                  <c:v>39273072</c:v>
                </c:pt>
                <c:pt idx="4">
                  <c:v>32989812</c:v>
                </c:pt>
              </c:numCache>
            </c:numRef>
          </c:val>
          <c:extLst>
            <c:ext xmlns:c16="http://schemas.microsoft.com/office/drawing/2014/chart" uri="{C3380CC4-5D6E-409C-BE32-E72D297353CC}">
              <c16:uniqueId val="{00000008-37FD-42FC-8D2F-42A9F27393CC}"/>
            </c:ext>
          </c:extLst>
        </c:ser>
        <c:dLbls>
          <c:showLegendKey val="0"/>
          <c:showVal val="0"/>
          <c:showCatName val="0"/>
          <c:showSerName val="0"/>
          <c:showPercent val="0"/>
          <c:showBubbleSize val="0"/>
        </c:dLbls>
        <c:gapWidth val="219"/>
        <c:overlap val="-27"/>
        <c:axId val="323334175"/>
        <c:axId val="323335423"/>
      </c:barChart>
      <c:catAx>
        <c:axId val="3233341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3335423"/>
        <c:crosses val="autoZero"/>
        <c:auto val="1"/>
        <c:lblAlgn val="ctr"/>
        <c:lblOffset val="100"/>
        <c:noMultiLvlLbl val="0"/>
      </c:catAx>
      <c:valAx>
        <c:axId val="32333542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333417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Christchurch</a:t>
            </a:r>
            <a:r>
              <a:rPr lang="en-US" baseline="0"/>
              <a:t> </a:t>
            </a:r>
            <a:r>
              <a:rPr lang="en-US"/>
              <a:t>PT Boardings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'PT Patronage'!$A$13</c:f>
              <c:strCache>
                <c:ptCount val="1"/>
                <c:pt idx="0">
                  <c:v>Canterbury</c:v>
                </c:pt>
              </c:strCache>
            </c:strRef>
          </c:tx>
          <c:spPr>
            <a:solidFill>
              <a:srgbClr val="00A9EF"/>
            </a:solidFill>
            <a:ln>
              <a:noFill/>
            </a:ln>
            <a:effectLst/>
          </c:spPr>
          <c:invertIfNegative val="0"/>
          <c:dPt>
            <c:idx val="1"/>
            <c:invertIfNegative val="0"/>
            <c:bubble3D val="0"/>
            <c:spPr>
              <a:solidFill>
                <a:srgbClr val="00938C"/>
              </a:solidFill>
              <a:ln>
                <a:noFill/>
              </a:ln>
              <a:effectLst/>
            </c:spPr>
            <c:extLst>
              <c:ext xmlns:c16="http://schemas.microsoft.com/office/drawing/2014/chart" uri="{C3380CC4-5D6E-409C-BE32-E72D297353CC}">
                <c16:uniqueId val="{00000001-048B-4DF6-859C-C3A74069AE26}"/>
              </c:ext>
            </c:extLst>
          </c:dPt>
          <c:dPt>
            <c:idx val="2"/>
            <c:invertIfNegative val="0"/>
            <c:bubble3D val="0"/>
            <c:spPr>
              <a:solidFill>
                <a:srgbClr val="3BA933"/>
              </a:solidFill>
              <a:ln>
                <a:noFill/>
              </a:ln>
              <a:effectLst/>
            </c:spPr>
            <c:extLst>
              <c:ext xmlns:c16="http://schemas.microsoft.com/office/drawing/2014/chart" uri="{C3380CC4-5D6E-409C-BE32-E72D297353CC}">
                <c16:uniqueId val="{00000003-048B-4DF6-859C-C3A74069AE26}"/>
              </c:ext>
            </c:extLst>
          </c:dPt>
          <c:dPt>
            <c:idx val="3"/>
            <c:invertIfNegative val="0"/>
            <c:bubble3D val="0"/>
            <c:spPr>
              <a:solidFill>
                <a:srgbClr val="B4D012"/>
              </a:solidFill>
              <a:ln>
                <a:noFill/>
              </a:ln>
              <a:effectLst/>
            </c:spPr>
            <c:extLst>
              <c:ext xmlns:c16="http://schemas.microsoft.com/office/drawing/2014/chart" uri="{C3380CC4-5D6E-409C-BE32-E72D297353CC}">
                <c16:uniqueId val="{00000005-048B-4DF6-859C-C3A74069AE26}"/>
              </c:ext>
            </c:extLst>
          </c:dPt>
          <c:dPt>
            <c:idx val="4"/>
            <c:invertIfNegative val="0"/>
            <c:bubble3D val="0"/>
            <c:spPr>
              <a:solidFill>
                <a:srgbClr val="F69E00"/>
              </a:solidFill>
              <a:ln>
                <a:noFill/>
              </a:ln>
              <a:effectLst/>
            </c:spPr>
            <c:extLst>
              <c:ext xmlns:c16="http://schemas.microsoft.com/office/drawing/2014/chart" uri="{C3380CC4-5D6E-409C-BE32-E72D297353CC}">
                <c16:uniqueId val="{00000007-048B-4DF6-859C-C3A74069AE26}"/>
              </c:ext>
            </c:extLst>
          </c:dPt>
          <c:cat>
            <c:strRef>
              <c:f>'PT Patronage'!$B$1:$F$1</c:f>
              <c:strCache>
                <c:ptCount val="5"/>
                <c:pt idx="0">
                  <c:v>2015/16</c:v>
                </c:pt>
                <c:pt idx="1">
                  <c:v>2016/17</c:v>
                </c:pt>
                <c:pt idx="2">
                  <c:v>2017/18</c:v>
                </c:pt>
                <c:pt idx="3">
                  <c:v>2018/19</c:v>
                </c:pt>
                <c:pt idx="4">
                  <c:v>2019/20</c:v>
                </c:pt>
              </c:strCache>
            </c:strRef>
          </c:cat>
          <c:val>
            <c:numRef>
              <c:f>'PT Patronage'!$B$13:$F$13</c:f>
              <c:numCache>
                <c:formatCode>#,##0</c:formatCode>
                <c:ptCount val="5"/>
                <c:pt idx="0">
                  <c:v>13859074</c:v>
                </c:pt>
                <c:pt idx="1">
                  <c:v>13362576</c:v>
                </c:pt>
                <c:pt idx="2">
                  <c:v>13750380</c:v>
                </c:pt>
                <c:pt idx="3">
                  <c:v>13866220</c:v>
                </c:pt>
                <c:pt idx="4">
                  <c:v>11162229</c:v>
                </c:pt>
              </c:numCache>
            </c:numRef>
          </c:val>
          <c:extLst>
            <c:ext xmlns:c16="http://schemas.microsoft.com/office/drawing/2014/chart" uri="{C3380CC4-5D6E-409C-BE32-E72D297353CC}">
              <c16:uniqueId val="{00000008-048B-4DF6-859C-C3A74069AE26}"/>
            </c:ext>
          </c:extLst>
        </c:ser>
        <c:dLbls>
          <c:showLegendKey val="0"/>
          <c:showVal val="0"/>
          <c:showCatName val="0"/>
          <c:showSerName val="0"/>
          <c:showPercent val="0"/>
          <c:showBubbleSize val="0"/>
        </c:dLbls>
        <c:gapWidth val="219"/>
        <c:overlap val="-27"/>
        <c:axId val="767667391"/>
        <c:axId val="767666975"/>
      </c:barChart>
      <c:catAx>
        <c:axId val="7676673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7666975"/>
        <c:crosses val="autoZero"/>
        <c:auto val="1"/>
        <c:lblAlgn val="ctr"/>
        <c:lblOffset val="100"/>
        <c:noMultiLvlLbl val="0"/>
      </c:catAx>
      <c:valAx>
        <c:axId val="76766697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766739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Hospitalisations from</a:t>
            </a:r>
            <a:r>
              <a:rPr lang="en-NZ" baseline="0"/>
              <a:t> Road Crashes </a:t>
            </a:r>
            <a:endParaRPr lang="en-N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dPt>
            <c:idx val="1"/>
            <c:marker>
              <c:symbol val="none"/>
            </c:marker>
            <c:bubble3D val="0"/>
            <c:spPr>
              <a:ln w="28575" cap="rnd">
                <a:solidFill>
                  <a:schemeClr val="accent1"/>
                </a:solidFill>
                <a:round/>
              </a:ln>
              <a:effectLst/>
            </c:spPr>
            <c:extLst>
              <c:ext xmlns:c16="http://schemas.microsoft.com/office/drawing/2014/chart" uri="{C3380CC4-5D6E-409C-BE32-E72D297353CC}">
                <c16:uniqueId val="{00000001-5C11-44C1-8C36-22E6BA3475FC}"/>
              </c:ext>
            </c:extLst>
          </c:dPt>
          <c:dPt>
            <c:idx val="2"/>
            <c:marker>
              <c:symbol val="none"/>
            </c:marker>
            <c:bubble3D val="0"/>
            <c:spPr>
              <a:ln w="28575" cap="rnd">
                <a:solidFill>
                  <a:schemeClr val="accent1"/>
                </a:solidFill>
                <a:round/>
              </a:ln>
              <a:effectLst/>
            </c:spPr>
            <c:extLst>
              <c:ext xmlns:c16="http://schemas.microsoft.com/office/drawing/2014/chart" uri="{C3380CC4-5D6E-409C-BE32-E72D297353CC}">
                <c16:uniqueId val="{00000003-5C11-44C1-8C36-22E6BA3475FC}"/>
              </c:ext>
            </c:extLst>
          </c:dPt>
          <c:dPt>
            <c:idx val="3"/>
            <c:marker>
              <c:symbol val="none"/>
            </c:marker>
            <c:bubble3D val="0"/>
            <c:spPr>
              <a:ln w="28575" cap="rnd">
                <a:solidFill>
                  <a:schemeClr val="accent1"/>
                </a:solidFill>
                <a:round/>
              </a:ln>
              <a:effectLst/>
            </c:spPr>
            <c:extLst>
              <c:ext xmlns:c16="http://schemas.microsoft.com/office/drawing/2014/chart" uri="{C3380CC4-5D6E-409C-BE32-E72D297353CC}">
                <c16:uniqueId val="{00000005-5C11-44C1-8C36-22E6BA3475FC}"/>
              </c:ext>
            </c:extLst>
          </c:dPt>
          <c:dPt>
            <c:idx val="4"/>
            <c:marker>
              <c:symbol val="none"/>
            </c:marker>
            <c:bubble3D val="0"/>
            <c:spPr>
              <a:ln w="28575" cap="rnd">
                <a:solidFill>
                  <a:schemeClr val="accent1"/>
                </a:solidFill>
                <a:round/>
              </a:ln>
              <a:effectLst/>
            </c:spPr>
            <c:extLst>
              <c:ext xmlns:c16="http://schemas.microsoft.com/office/drawing/2014/chart" uri="{C3380CC4-5D6E-409C-BE32-E72D297353CC}">
                <c16:uniqueId val="{00000007-5C11-44C1-8C36-22E6BA3475FC}"/>
              </c:ext>
            </c:extLst>
          </c:dPt>
          <c:cat>
            <c:strRef>
              <c:f>Sheet1!$B$1:$F$1</c:f>
              <c:strCache>
                <c:ptCount val="5"/>
                <c:pt idx="0">
                  <c:v>2015/16</c:v>
                </c:pt>
                <c:pt idx="1">
                  <c:v>2016/17</c:v>
                </c:pt>
                <c:pt idx="2">
                  <c:v>2017/18</c:v>
                </c:pt>
                <c:pt idx="3">
                  <c:v>2018/19</c:v>
                </c:pt>
                <c:pt idx="4">
                  <c:v>2019/20</c:v>
                </c:pt>
              </c:strCache>
            </c:strRef>
          </c:cat>
          <c:val>
            <c:numRef>
              <c:f>Sheet1!$B$4:$F$4</c:f>
              <c:numCache>
                <c:formatCode>General</c:formatCode>
                <c:ptCount val="5"/>
                <c:pt idx="0">
                  <c:v>2751</c:v>
                </c:pt>
                <c:pt idx="1">
                  <c:v>3113</c:v>
                </c:pt>
                <c:pt idx="2">
                  <c:v>3088</c:v>
                </c:pt>
                <c:pt idx="3">
                  <c:v>2908</c:v>
                </c:pt>
                <c:pt idx="4">
                  <c:v>2517</c:v>
                </c:pt>
              </c:numCache>
            </c:numRef>
          </c:val>
          <c:smooth val="0"/>
          <c:extLst>
            <c:ext xmlns:c16="http://schemas.microsoft.com/office/drawing/2014/chart" uri="{C3380CC4-5D6E-409C-BE32-E72D297353CC}">
              <c16:uniqueId val="{00000008-5C11-44C1-8C36-22E6BA3475FC}"/>
            </c:ext>
          </c:extLst>
        </c:ser>
        <c:dLbls>
          <c:showLegendKey val="0"/>
          <c:showVal val="0"/>
          <c:showCatName val="0"/>
          <c:showSerName val="0"/>
          <c:showPercent val="0"/>
          <c:showBubbleSize val="0"/>
        </c:dLbls>
        <c:smooth val="0"/>
        <c:axId val="757386991"/>
        <c:axId val="757385327"/>
      </c:lineChart>
      <c:catAx>
        <c:axId val="7573869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7385327"/>
        <c:crosses val="autoZero"/>
        <c:auto val="1"/>
        <c:lblAlgn val="ctr"/>
        <c:lblOffset val="100"/>
        <c:noMultiLvlLbl val="0"/>
      </c:catAx>
      <c:valAx>
        <c:axId val="7573853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738699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SuperGold!$A$2</c:f>
              <c:strCache>
                <c:ptCount val="1"/>
                <c:pt idx="0">
                  <c:v>Number of boardings using SuperGold concessions</c:v>
                </c:pt>
              </c:strCache>
            </c:strRef>
          </c:tx>
          <c:spPr>
            <a:solidFill>
              <a:schemeClr val="accent1"/>
            </a:solidFill>
            <a:ln>
              <a:noFill/>
            </a:ln>
            <a:effectLst/>
          </c:spPr>
          <c:invertIfNegative val="0"/>
          <c:dPt>
            <c:idx val="0"/>
            <c:invertIfNegative val="0"/>
            <c:bubble3D val="0"/>
            <c:spPr>
              <a:solidFill>
                <a:srgbClr val="00A9EF"/>
              </a:solidFill>
              <a:ln>
                <a:noFill/>
              </a:ln>
              <a:effectLst/>
            </c:spPr>
            <c:extLst>
              <c:ext xmlns:c16="http://schemas.microsoft.com/office/drawing/2014/chart" uri="{C3380CC4-5D6E-409C-BE32-E72D297353CC}">
                <c16:uniqueId val="{00000001-A6A3-40DD-B7A6-923041547183}"/>
              </c:ext>
            </c:extLst>
          </c:dPt>
          <c:dPt>
            <c:idx val="1"/>
            <c:invertIfNegative val="0"/>
            <c:bubble3D val="0"/>
            <c:spPr>
              <a:solidFill>
                <a:srgbClr val="00938C"/>
              </a:solidFill>
              <a:ln>
                <a:noFill/>
              </a:ln>
              <a:effectLst/>
            </c:spPr>
            <c:extLst>
              <c:ext xmlns:c16="http://schemas.microsoft.com/office/drawing/2014/chart" uri="{C3380CC4-5D6E-409C-BE32-E72D297353CC}">
                <c16:uniqueId val="{00000003-A6A3-40DD-B7A6-923041547183}"/>
              </c:ext>
            </c:extLst>
          </c:dPt>
          <c:dPt>
            <c:idx val="2"/>
            <c:invertIfNegative val="0"/>
            <c:bubble3D val="0"/>
            <c:spPr>
              <a:solidFill>
                <a:srgbClr val="3BA933"/>
              </a:solidFill>
              <a:ln>
                <a:noFill/>
              </a:ln>
              <a:effectLst/>
            </c:spPr>
            <c:extLst>
              <c:ext xmlns:c16="http://schemas.microsoft.com/office/drawing/2014/chart" uri="{C3380CC4-5D6E-409C-BE32-E72D297353CC}">
                <c16:uniqueId val="{00000005-A6A3-40DD-B7A6-923041547183}"/>
              </c:ext>
            </c:extLst>
          </c:dPt>
          <c:dPt>
            <c:idx val="3"/>
            <c:invertIfNegative val="0"/>
            <c:bubble3D val="0"/>
            <c:spPr>
              <a:solidFill>
                <a:srgbClr val="B4D012"/>
              </a:solidFill>
              <a:ln>
                <a:noFill/>
              </a:ln>
              <a:effectLst/>
            </c:spPr>
            <c:extLst>
              <c:ext xmlns:c16="http://schemas.microsoft.com/office/drawing/2014/chart" uri="{C3380CC4-5D6E-409C-BE32-E72D297353CC}">
                <c16:uniqueId val="{00000007-A6A3-40DD-B7A6-923041547183}"/>
              </c:ext>
            </c:extLst>
          </c:dPt>
          <c:dPt>
            <c:idx val="4"/>
            <c:invertIfNegative val="0"/>
            <c:bubble3D val="0"/>
            <c:spPr>
              <a:solidFill>
                <a:srgbClr val="F69E00"/>
              </a:solidFill>
              <a:ln>
                <a:noFill/>
              </a:ln>
              <a:effectLst/>
            </c:spPr>
            <c:extLst>
              <c:ext xmlns:c16="http://schemas.microsoft.com/office/drawing/2014/chart" uri="{C3380CC4-5D6E-409C-BE32-E72D297353CC}">
                <c16:uniqueId val="{00000009-A6A3-40DD-B7A6-923041547183}"/>
              </c:ext>
            </c:extLst>
          </c:dPt>
          <c:cat>
            <c:strRef>
              <c:f>SuperGold!$B$1:$F$1</c:f>
              <c:strCache>
                <c:ptCount val="5"/>
                <c:pt idx="0">
                  <c:v>2015/16</c:v>
                </c:pt>
                <c:pt idx="1">
                  <c:v>2016/17</c:v>
                </c:pt>
                <c:pt idx="2">
                  <c:v>2017/18</c:v>
                </c:pt>
                <c:pt idx="3">
                  <c:v>2018/19</c:v>
                </c:pt>
                <c:pt idx="4">
                  <c:v>2019/20</c:v>
                </c:pt>
              </c:strCache>
            </c:strRef>
          </c:cat>
          <c:val>
            <c:numRef>
              <c:f>SuperGold!$B$2:$F$2</c:f>
              <c:numCache>
                <c:formatCode>#,##0</c:formatCode>
                <c:ptCount val="5"/>
                <c:pt idx="0">
                  <c:v>12902000</c:v>
                </c:pt>
                <c:pt idx="1">
                  <c:v>12760000</c:v>
                </c:pt>
                <c:pt idx="2">
                  <c:v>13779000</c:v>
                </c:pt>
                <c:pt idx="3">
                  <c:v>15522075</c:v>
                </c:pt>
                <c:pt idx="4">
                  <c:v>12558809</c:v>
                </c:pt>
              </c:numCache>
            </c:numRef>
          </c:val>
          <c:extLst>
            <c:ext xmlns:c16="http://schemas.microsoft.com/office/drawing/2014/chart" uri="{C3380CC4-5D6E-409C-BE32-E72D297353CC}">
              <c16:uniqueId val="{0000000A-A6A3-40DD-B7A6-923041547183}"/>
            </c:ext>
          </c:extLst>
        </c:ser>
        <c:dLbls>
          <c:showLegendKey val="0"/>
          <c:showVal val="0"/>
          <c:showCatName val="0"/>
          <c:showSerName val="0"/>
          <c:showPercent val="0"/>
          <c:showBubbleSize val="0"/>
        </c:dLbls>
        <c:gapWidth val="219"/>
        <c:overlap val="-27"/>
        <c:axId val="2132202767"/>
        <c:axId val="2132203183"/>
      </c:barChart>
      <c:catAx>
        <c:axId val="21322027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2203183"/>
        <c:crosses val="autoZero"/>
        <c:auto val="1"/>
        <c:lblAlgn val="ctr"/>
        <c:lblOffset val="100"/>
        <c:noMultiLvlLbl val="0"/>
      </c:catAx>
      <c:valAx>
        <c:axId val="213220318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220276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Total number of journeys using specialised services by region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Sheet1!$AZ$9</c:f>
              <c:strCache>
                <c:ptCount val="1"/>
                <c:pt idx="0">
                  <c:v>2015/16</c:v>
                </c:pt>
              </c:strCache>
            </c:strRef>
          </c:tx>
          <c:spPr>
            <a:solidFill>
              <a:srgbClr val="00A9EF"/>
            </a:solidFill>
            <a:ln>
              <a:noFill/>
            </a:ln>
            <a:effectLst/>
          </c:spPr>
          <c:invertIfNegative val="0"/>
          <c:cat>
            <c:strRef>
              <c:f>Sheet1!$AY$10:$AY$23</c:f>
              <c:strCache>
                <c:ptCount val="14"/>
                <c:pt idx="0">
                  <c:v>Northland</c:v>
                </c:pt>
                <c:pt idx="1">
                  <c:v>Auckland</c:v>
                </c:pt>
                <c:pt idx="2">
                  <c:v>Waikato</c:v>
                </c:pt>
                <c:pt idx="3">
                  <c:v>Bay of Plenty</c:v>
                </c:pt>
                <c:pt idx="4">
                  <c:v>Gisborne</c:v>
                </c:pt>
                <c:pt idx="5">
                  <c:v>Hawke’s Bay</c:v>
                </c:pt>
                <c:pt idx="6">
                  <c:v>Taranaki</c:v>
                </c:pt>
                <c:pt idx="7">
                  <c:v>Manawatu-Whanganui</c:v>
                </c:pt>
                <c:pt idx="8">
                  <c:v>Wellington</c:v>
                </c:pt>
                <c:pt idx="9">
                  <c:v>Marlborough-Nelson-Tasman</c:v>
                </c:pt>
                <c:pt idx="10">
                  <c:v>West Coast</c:v>
                </c:pt>
                <c:pt idx="11">
                  <c:v>Canterbury</c:v>
                </c:pt>
                <c:pt idx="12">
                  <c:v>Otago</c:v>
                </c:pt>
                <c:pt idx="13">
                  <c:v>Invercargill-Southland</c:v>
                </c:pt>
              </c:strCache>
            </c:strRef>
          </c:cat>
          <c:val>
            <c:numRef>
              <c:f>Sheet1!$AZ$10:$AZ$23</c:f>
              <c:numCache>
                <c:formatCode>#,##0</c:formatCode>
                <c:ptCount val="14"/>
                <c:pt idx="0">
                  <c:v>27571</c:v>
                </c:pt>
                <c:pt idx="1">
                  <c:v>437884</c:v>
                </c:pt>
                <c:pt idx="2">
                  <c:v>62102</c:v>
                </c:pt>
                <c:pt idx="3">
                  <c:v>68509</c:v>
                </c:pt>
                <c:pt idx="4">
                  <c:v>9035</c:v>
                </c:pt>
                <c:pt idx="5">
                  <c:v>92805</c:v>
                </c:pt>
                <c:pt idx="6">
                  <c:v>46768</c:v>
                </c:pt>
                <c:pt idx="7">
                  <c:v>169200</c:v>
                </c:pt>
                <c:pt idx="8">
                  <c:v>271580</c:v>
                </c:pt>
                <c:pt idx="9">
                  <c:v>61131</c:v>
                </c:pt>
                <c:pt idx="10">
                  <c:v>15747</c:v>
                </c:pt>
                <c:pt idx="11">
                  <c:v>46468</c:v>
                </c:pt>
                <c:pt idx="12">
                  <c:v>104421</c:v>
                </c:pt>
                <c:pt idx="13">
                  <c:v>54559</c:v>
                </c:pt>
              </c:numCache>
            </c:numRef>
          </c:val>
          <c:extLst>
            <c:ext xmlns:c16="http://schemas.microsoft.com/office/drawing/2014/chart" uri="{C3380CC4-5D6E-409C-BE32-E72D297353CC}">
              <c16:uniqueId val="{00000000-4ACF-4B16-B9C5-7DF17F9A93A4}"/>
            </c:ext>
          </c:extLst>
        </c:ser>
        <c:ser>
          <c:idx val="1"/>
          <c:order val="1"/>
          <c:tx>
            <c:strRef>
              <c:f>Sheet1!$BA$9</c:f>
              <c:strCache>
                <c:ptCount val="1"/>
                <c:pt idx="0">
                  <c:v>2016/17</c:v>
                </c:pt>
              </c:strCache>
            </c:strRef>
          </c:tx>
          <c:spPr>
            <a:solidFill>
              <a:srgbClr val="00938C"/>
            </a:solidFill>
            <a:ln>
              <a:noFill/>
            </a:ln>
            <a:effectLst/>
          </c:spPr>
          <c:invertIfNegative val="0"/>
          <c:cat>
            <c:strRef>
              <c:f>Sheet1!$AY$10:$AY$23</c:f>
              <c:strCache>
                <c:ptCount val="14"/>
                <c:pt idx="0">
                  <c:v>Northland</c:v>
                </c:pt>
                <c:pt idx="1">
                  <c:v>Auckland</c:v>
                </c:pt>
                <c:pt idx="2">
                  <c:v>Waikato</c:v>
                </c:pt>
                <c:pt idx="3">
                  <c:v>Bay of Plenty</c:v>
                </c:pt>
                <c:pt idx="4">
                  <c:v>Gisborne</c:v>
                </c:pt>
                <c:pt idx="5">
                  <c:v>Hawke’s Bay</c:v>
                </c:pt>
                <c:pt idx="6">
                  <c:v>Taranaki</c:v>
                </c:pt>
                <c:pt idx="7">
                  <c:v>Manawatu-Whanganui</c:v>
                </c:pt>
                <c:pt idx="8">
                  <c:v>Wellington</c:v>
                </c:pt>
                <c:pt idx="9">
                  <c:v>Marlborough-Nelson-Tasman</c:v>
                </c:pt>
                <c:pt idx="10">
                  <c:v>West Coast</c:v>
                </c:pt>
                <c:pt idx="11">
                  <c:v>Canterbury</c:v>
                </c:pt>
                <c:pt idx="12">
                  <c:v>Otago</c:v>
                </c:pt>
                <c:pt idx="13">
                  <c:v>Invercargill-Southland</c:v>
                </c:pt>
              </c:strCache>
            </c:strRef>
          </c:cat>
          <c:val>
            <c:numRef>
              <c:f>Sheet1!$BA$10:$BA$23</c:f>
              <c:numCache>
                <c:formatCode>#,##0</c:formatCode>
                <c:ptCount val="14"/>
                <c:pt idx="0">
                  <c:v>26790</c:v>
                </c:pt>
                <c:pt idx="1">
                  <c:v>452585</c:v>
                </c:pt>
                <c:pt idx="2">
                  <c:v>63317</c:v>
                </c:pt>
                <c:pt idx="3">
                  <c:v>73228</c:v>
                </c:pt>
                <c:pt idx="4">
                  <c:v>8794</c:v>
                </c:pt>
                <c:pt idx="5">
                  <c:v>96155</c:v>
                </c:pt>
                <c:pt idx="6">
                  <c:v>45327</c:v>
                </c:pt>
                <c:pt idx="7">
                  <c:v>177277</c:v>
                </c:pt>
                <c:pt idx="8">
                  <c:v>282023</c:v>
                </c:pt>
                <c:pt idx="9">
                  <c:v>59041</c:v>
                </c:pt>
                <c:pt idx="10">
                  <c:v>15482</c:v>
                </c:pt>
                <c:pt idx="11">
                  <c:v>276024</c:v>
                </c:pt>
                <c:pt idx="12">
                  <c:v>96785</c:v>
                </c:pt>
                <c:pt idx="13">
                  <c:v>54532</c:v>
                </c:pt>
              </c:numCache>
            </c:numRef>
          </c:val>
          <c:extLst>
            <c:ext xmlns:c16="http://schemas.microsoft.com/office/drawing/2014/chart" uri="{C3380CC4-5D6E-409C-BE32-E72D297353CC}">
              <c16:uniqueId val="{00000001-4ACF-4B16-B9C5-7DF17F9A93A4}"/>
            </c:ext>
          </c:extLst>
        </c:ser>
        <c:ser>
          <c:idx val="2"/>
          <c:order val="2"/>
          <c:tx>
            <c:strRef>
              <c:f>Sheet1!$BB$9</c:f>
              <c:strCache>
                <c:ptCount val="1"/>
                <c:pt idx="0">
                  <c:v>2017/18</c:v>
                </c:pt>
              </c:strCache>
            </c:strRef>
          </c:tx>
          <c:spPr>
            <a:solidFill>
              <a:srgbClr val="3BA933"/>
            </a:solidFill>
            <a:ln>
              <a:noFill/>
            </a:ln>
            <a:effectLst/>
          </c:spPr>
          <c:invertIfNegative val="0"/>
          <c:cat>
            <c:strRef>
              <c:f>Sheet1!$AY$10:$AY$23</c:f>
              <c:strCache>
                <c:ptCount val="14"/>
                <c:pt idx="0">
                  <c:v>Northland</c:v>
                </c:pt>
                <c:pt idx="1">
                  <c:v>Auckland</c:v>
                </c:pt>
                <c:pt idx="2">
                  <c:v>Waikato</c:v>
                </c:pt>
                <c:pt idx="3">
                  <c:v>Bay of Plenty</c:v>
                </c:pt>
                <c:pt idx="4">
                  <c:v>Gisborne</c:v>
                </c:pt>
                <c:pt idx="5">
                  <c:v>Hawke’s Bay</c:v>
                </c:pt>
                <c:pt idx="6">
                  <c:v>Taranaki</c:v>
                </c:pt>
                <c:pt idx="7">
                  <c:v>Manawatu-Whanganui</c:v>
                </c:pt>
                <c:pt idx="8">
                  <c:v>Wellington</c:v>
                </c:pt>
                <c:pt idx="9">
                  <c:v>Marlborough-Nelson-Tasman</c:v>
                </c:pt>
                <c:pt idx="10">
                  <c:v>West Coast</c:v>
                </c:pt>
                <c:pt idx="11">
                  <c:v>Canterbury</c:v>
                </c:pt>
                <c:pt idx="12">
                  <c:v>Otago</c:v>
                </c:pt>
                <c:pt idx="13">
                  <c:v>Invercargill-Southland</c:v>
                </c:pt>
              </c:strCache>
            </c:strRef>
          </c:cat>
          <c:val>
            <c:numRef>
              <c:f>Sheet1!$BB$10:$BB$23</c:f>
              <c:numCache>
                <c:formatCode>#,##0</c:formatCode>
                <c:ptCount val="14"/>
                <c:pt idx="0">
                  <c:v>31781</c:v>
                </c:pt>
                <c:pt idx="1">
                  <c:v>446241</c:v>
                </c:pt>
                <c:pt idx="2">
                  <c:v>65082</c:v>
                </c:pt>
                <c:pt idx="3">
                  <c:v>65941</c:v>
                </c:pt>
                <c:pt idx="4">
                  <c:v>8278</c:v>
                </c:pt>
                <c:pt idx="5">
                  <c:v>96770</c:v>
                </c:pt>
                <c:pt idx="6">
                  <c:v>51008</c:v>
                </c:pt>
                <c:pt idx="7">
                  <c:v>173019</c:v>
                </c:pt>
                <c:pt idx="8">
                  <c:v>298309</c:v>
                </c:pt>
                <c:pt idx="9">
                  <c:v>59264</c:v>
                </c:pt>
                <c:pt idx="10">
                  <c:v>15862</c:v>
                </c:pt>
                <c:pt idx="11">
                  <c:v>273471</c:v>
                </c:pt>
                <c:pt idx="12">
                  <c:v>114808</c:v>
                </c:pt>
                <c:pt idx="13">
                  <c:v>55193</c:v>
                </c:pt>
              </c:numCache>
            </c:numRef>
          </c:val>
          <c:extLst>
            <c:ext xmlns:c16="http://schemas.microsoft.com/office/drawing/2014/chart" uri="{C3380CC4-5D6E-409C-BE32-E72D297353CC}">
              <c16:uniqueId val="{00000002-4ACF-4B16-B9C5-7DF17F9A93A4}"/>
            </c:ext>
          </c:extLst>
        </c:ser>
        <c:ser>
          <c:idx val="3"/>
          <c:order val="3"/>
          <c:tx>
            <c:strRef>
              <c:f>Sheet1!$BC$9</c:f>
              <c:strCache>
                <c:ptCount val="1"/>
                <c:pt idx="0">
                  <c:v>2018/19</c:v>
                </c:pt>
              </c:strCache>
            </c:strRef>
          </c:tx>
          <c:spPr>
            <a:solidFill>
              <a:srgbClr val="B4D012"/>
            </a:solidFill>
            <a:ln>
              <a:noFill/>
            </a:ln>
            <a:effectLst/>
          </c:spPr>
          <c:invertIfNegative val="0"/>
          <c:cat>
            <c:strRef>
              <c:f>Sheet1!$AY$10:$AY$23</c:f>
              <c:strCache>
                <c:ptCount val="14"/>
                <c:pt idx="0">
                  <c:v>Northland</c:v>
                </c:pt>
                <c:pt idx="1">
                  <c:v>Auckland</c:v>
                </c:pt>
                <c:pt idx="2">
                  <c:v>Waikato</c:v>
                </c:pt>
                <c:pt idx="3">
                  <c:v>Bay of Plenty</c:v>
                </c:pt>
                <c:pt idx="4">
                  <c:v>Gisborne</c:v>
                </c:pt>
                <c:pt idx="5">
                  <c:v>Hawke’s Bay</c:v>
                </c:pt>
                <c:pt idx="6">
                  <c:v>Taranaki</c:v>
                </c:pt>
                <c:pt idx="7">
                  <c:v>Manawatu-Whanganui</c:v>
                </c:pt>
                <c:pt idx="8">
                  <c:v>Wellington</c:v>
                </c:pt>
                <c:pt idx="9">
                  <c:v>Marlborough-Nelson-Tasman</c:v>
                </c:pt>
                <c:pt idx="10">
                  <c:v>West Coast</c:v>
                </c:pt>
                <c:pt idx="11">
                  <c:v>Canterbury</c:v>
                </c:pt>
                <c:pt idx="12">
                  <c:v>Otago</c:v>
                </c:pt>
                <c:pt idx="13">
                  <c:v>Invercargill-Southland</c:v>
                </c:pt>
              </c:strCache>
            </c:strRef>
          </c:cat>
          <c:val>
            <c:numRef>
              <c:f>Sheet1!$BC$10:$BC$23</c:f>
              <c:numCache>
                <c:formatCode>#,##0</c:formatCode>
                <c:ptCount val="14"/>
                <c:pt idx="0">
                  <c:v>34879</c:v>
                </c:pt>
                <c:pt idx="1">
                  <c:v>451213</c:v>
                </c:pt>
                <c:pt idx="2">
                  <c:v>62238</c:v>
                </c:pt>
                <c:pt idx="3">
                  <c:v>71796</c:v>
                </c:pt>
                <c:pt idx="4">
                  <c:v>9347</c:v>
                </c:pt>
                <c:pt idx="5">
                  <c:v>96921</c:v>
                </c:pt>
                <c:pt idx="6">
                  <c:v>55762</c:v>
                </c:pt>
                <c:pt idx="7">
                  <c:v>171074</c:v>
                </c:pt>
                <c:pt idx="8">
                  <c:v>332796</c:v>
                </c:pt>
                <c:pt idx="9">
                  <c:v>64896</c:v>
                </c:pt>
                <c:pt idx="10">
                  <c:v>17973</c:v>
                </c:pt>
                <c:pt idx="11">
                  <c:v>281049</c:v>
                </c:pt>
                <c:pt idx="12">
                  <c:v>119923</c:v>
                </c:pt>
                <c:pt idx="13">
                  <c:v>53838</c:v>
                </c:pt>
              </c:numCache>
            </c:numRef>
          </c:val>
          <c:extLst>
            <c:ext xmlns:c16="http://schemas.microsoft.com/office/drawing/2014/chart" uri="{C3380CC4-5D6E-409C-BE32-E72D297353CC}">
              <c16:uniqueId val="{00000003-4ACF-4B16-B9C5-7DF17F9A93A4}"/>
            </c:ext>
          </c:extLst>
        </c:ser>
        <c:ser>
          <c:idx val="4"/>
          <c:order val="4"/>
          <c:tx>
            <c:strRef>
              <c:f>Sheet1!$BD$9</c:f>
              <c:strCache>
                <c:ptCount val="1"/>
                <c:pt idx="0">
                  <c:v>2019/20</c:v>
                </c:pt>
              </c:strCache>
            </c:strRef>
          </c:tx>
          <c:spPr>
            <a:solidFill>
              <a:srgbClr val="F69E00"/>
            </a:solidFill>
            <a:ln>
              <a:noFill/>
            </a:ln>
            <a:effectLst/>
          </c:spPr>
          <c:invertIfNegative val="0"/>
          <c:cat>
            <c:strRef>
              <c:f>Sheet1!$AY$10:$AY$23</c:f>
              <c:strCache>
                <c:ptCount val="14"/>
                <c:pt idx="0">
                  <c:v>Northland</c:v>
                </c:pt>
                <c:pt idx="1">
                  <c:v>Auckland</c:v>
                </c:pt>
                <c:pt idx="2">
                  <c:v>Waikato</c:v>
                </c:pt>
                <c:pt idx="3">
                  <c:v>Bay of Plenty</c:v>
                </c:pt>
                <c:pt idx="4">
                  <c:v>Gisborne</c:v>
                </c:pt>
                <c:pt idx="5">
                  <c:v>Hawke’s Bay</c:v>
                </c:pt>
                <c:pt idx="6">
                  <c:v>Taranaki</c:v>
                </c:pt>
                <c:pt idx="7">
                  <c:v>Manawatu-Whanganui</c:v>
                </c:pt>
                <c:pt idx="8">
                  <c:v>Wellington</c:v>
                </c:pt>
                <c:pt idx="9">
                  <c:v>Marlborough-Nelson-Tasman</c:v>
                </c:pt>
                <c:pt idx="10">
                  <c:v>West Coast</c:v>
                </c:pt>
                <c:pt idx="11">
                  <c:v>Canterbury</c:v>
                </c:pt>
                <c:pt idx="12">
                  <c:v>Otago</c:v>
                </c:pt>
                <c:pt idx="13">
                  <c:v>Invercargill-Southland</c:v>
                </c:pt>
              </c:strCache>
            </c:strRef>
          </c:cat>
          <c:val>
            <c:numRef>
              <c:f>Sheet1!$BD$10:$BD$23</c:f>
              <c:numCache>
                <c:formatCode>#,##0</c:formatCode>
                <c:ptCount val="14"/>
                <c:pt idx="0">
                  <c:v>31882</c:v>
                </c:pt>
                <c:pt idx="1">
                  <c:v>408329</c:v>
                </c:pt>
                <c:pt idx="2">
                  <c:v>60748</c:v>
                </c:pt>
                <c:pt idx="3">
                  <c:v>59821</c:v>
                </c:pt>
                <c:pt idx="4">
                  <c:v>8614</c:v>
                </c:pt>
                <c:pt idx="5">
                  <c:v>89442</c:v>
                </c:pt>
                <c:pt idx="6">
                  <c:v>55236</c:v>
                </c:pt>
                <c:pt idx="7">
                  <c:v>167946</c:v>
                </c:pt>
                <c:pt idx="8">
                  <c:v>307910</c:v>
                </c:pt>
                <c:pt idx="9">
                  <c:v>58241</c:v>
                </c:pt>
                <c:pt idx="10">
                  <c:v>17637</c:v>
                </c:pt>
                <c:pt idx="11">
                  <c:v>267114</c:v>
                </c:pt>
                <c:pt idx="12">
                  <c:v>100968</c:v>
                </c:pt>
                <c:pt idx="13">
                  <c:v>52048</c:v>
                </c:pt>
              </c:numCache>
            </c:numRef>
          </c:val>
          <c:extLst>
            <c:ext xmlns:c16="http://schemas.microsoft.com/office/drawing/2014/chart" uri="{C3380CC4-5D6E-409C-BE32-E72D297353CC}">
              <c16:uniqueId val="{00000004-4ACF-4B16-B9C5-7DF17F9A93A4}"/>
            </c:ext>
          </c:extLst>
        </c:ser>
        <c:dLbls>
          <c:showLegendKey val="0"/>
          <c:showVal val="0"/>
          <c:showCatName val="0"/>
          <c:showSerName val="0"/>
          <c:showPercent val="0"/>
          <c:showBubbleSize val="0"/>
        </c:dLbls>
        <c:gapWidth val="219"/>
        <c:overlap val="-27"/>
        <c:axId val="2081634063"/>
        <c:axId val="2081631983"/>
      </c:barChart>
      <c:catAx>
        <c:axId val="2081634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1631983"/>
        <c:crosses val="autoZero"/>
        <c:auto val="1"/>
        <c:lblAlgn val="ctr"/>
        <c:lblOffset val="100"/>
        <c:noMultiLvlLbl val="0"/>
      </c:catAx>
      <c:valAx>
        <c:axId val="208163198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16340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Proportion</a:t>
            </a:r>
            <a:r>
              <a:rPr lang="en-NZ" baseline="0"/>
              <a:t> of jobs accessible within a reasonable time frame by mode</a:t>
            </a:r>
            <a:endParaRPr lang="en-N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'Job accessibility'!$B$1</c:f>
              <c:strCache>
                <c:ptCount val="1"/>
                <c:pt idx="0">
                  <c:v>2018/19</c:v>
                </c:pt>
              </c:strCache>
            </c:strRef>
          </c:tx>
          <c:spPr>
            <a:solidFill>
              <a:srgbClr val="00A9EF"/>
            </a:solidFill>
            <a:ln>
              <a:noFill/>
            </a:ln>
            <a:effectLst/>
          </c:spPr>
          <c:invertIfNegative val="0"/>
          <c:cat>
            <c:strRef>
              <c:f>'Job accessibility'!$A$2:$A$5</c:f>
              <c:strCache>
                <c:ptCount val="4"/>
                <c:pt idx="0">
                  <c:v>Walking</c:v>
                </c:pt>
                <c:pt idx="1">
                  <c:v>Cycling</c:v>
                </c:pt>
                <c:pt idx="2">
                  <c:v>Public transport</c:v>
                </c:pt>
                <c:pt idx="3">
                  <c:v>Private vehicle</c:v>
                </c:pt>
              </c:strCache>
            </c:strRef>
          </c:cat>
          <c:val>
            <c:numRef>
              <c:f>'Job accessibility'!$B$2:$B$5</c:f>
              <c:numCache>
                <c:formatCode>0%</c:formatCode>
                <c:ptCount val="4"/>
                <c:pt idx="0">
                  <c:v>7.0000000000000007E-2</c:v>
                </c:pt>
                <c:pt idx="1">
                  <c:v>0.28000000000000003</c:v>
                </c:pt>
                <c:pt idx="2">
                  <c:v>0.15</c:v>
                </c:pt>
                <c:pt idx="3">
                  <c:v>0.45</c:v>
                </c:pt>
              </c:numCache>
            </c:numRef>
          </c:val>
          <c:extLst>
            <c:ext xmlns:c16="http://schemas.microsoft.com/office/drawing/2014/chart" uri="{C3380CC4-5D6E-409C-BE32-E72D297353CC}">
              <c16:uniqueId val="{00000000-E585-4FC2-AF2A-1B0912A3DCD1}"/>
            </c:ext>
          </c:extLst>
        </c:ser>
        <c:ser>
          <c:idx val="1"/>
          <c:order val="1"/>
          <c:tx>
            <c:strRef>
              <c:f>'Job accessibility'!$C$1</c:f>
              <c:strCache>
                <c:ptCount val="1"/>
                <c:pt idx="0">
                  <c:v>2019/20</c:v>
                </c:pt>
              </c:strCache>
            </c:strRef>
          </c:tx>
          <c:spPr>
            <a:solidFill>
              <a:srgbClr val="3BA933"/>
            </a:solidFill>
            <a:ln>
              <a:noFill/>
            </a:ln>
            <a:effectLst/>
          </c:spPr>
          <c:invertIfNegative val="0"/>
          <c:cat>
            <c:strRef>
              <c:f>'Job accessibility'!$A$2:$A$5</c:f>
              <c:strCache>
                <c:ptCount val="4"/>
                <c:pt idx="0">
                  <c:v>Walking</c:v>
                </c:pt>
                <c:pt idx="1">
                  <c:v>Cycling</c:v>
                </c:pt>
                <c:pt idx="2">
                  <c:v>Public transport</c:v>
                </c:pt>
                <c:pt idx="3">
                  <c:v>Private vehicle</c:v>
                </c:pt>
              </c:strCache>
            </c:strRef>
          </c:cat>
          <c:val>
            <c:numRef>
              <c:f>'Job accessibility'!$C$2:$C$5</c:f>
              <c:numCache>
                <c:formatCode>0%</c:formatCode>
                <c:ptCount val="4"/>
                <c:pt idx="0">
                  <c:v>0.05</c:v>
                </c:pt>
                <c:pt idx="1">
                  <c:v>0.23</c:v>
                </c:pt>
                <c:pt idx="2">
                  <c:v>0.15</c:v>
                </c:pt>
                <c:pt idx="3">
                  <c:v>0.44</c:v>
                </c:pt>
              </c:numCache>
            </c:numRef>
          </c:val>
          <c:extLst>
            <c:ext xmlns:c16="http://schemas.microsoft.com/office/drawing/2014/chart" uri="{C3380CC4-5D6E-409C-BE32-E72D297353CC}">
              <c16:uniqueId val="{00000001-E585-4FC2-AF2A-1B0912A3DCD1}"/>
            </c:ext>
          </c:extLst>
        </c:ser>
        <c:dLbls>
          <c:showLegendKey val="0"/>
          <c:showVal val="0"/>
          <c:showCatName val="0"/>
          <c:showSerName val="0"/>
          <c:showPercent val="0"/>
          <c:showBubbleSize val="0"/>
        </c:dLbls>
        <c:gapWidth val="219"/>
        <c:overlap val="-27"/>
        <c:axId val="964794511"/>
        <c:axId val="964801999"/>
      </c:barChart>
      <c:catAx>
        <c:axId val="9647945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4801999"/>
        <c:crosses val="autoZero"/>
        <c:auto val="1"/>
        <c:lblAlgn val="ctr"/>
        <c:lblOffset val="100"/>
        <c:noMultiLvlLbl val="0"/>
      </c:catAx>
      <c:valAx>
        <c:axId val="96480199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47945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Proportion</a:t>
            </a:r>
            <a:r>
              <a:rPr lang="en-NZ" baseline="0"/>
              <a:t> of people with access to ... by mode </a:t>
            </a:r>
            <a:endParaRPr lang="en-N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9605814630673685"/>
          <c:y val="0.1312086606692689"/>
          <c:w val="0.80394185369326321"/>
          <c:h val="0.86786973687950797"/>
        </c:manualLayout>
      </c:layout>
      <c:barChart>
        <c:barDir val="bar"/>
        <c:grouping val="clustered"/>
        <c:varyColors val="0"/>
        <c:ser>
          <c:idx val="0"/>
          <c:order val="0"/>
          <c:tx>
            <c:strRef>
              <c:f>Sheet1!$C$62</c:f>
              <c:strCache>
                <c:ptCount val="1"/>
                <c:pt idx="0">
                  <c:v>2018/19</c:v>
                </c:pt>
              </c:strCache>
            </c:strRef>
          </c:tx>
          <c:spPr>
            <a:solidFill>
              <a:srgbClr val="3BA9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Sheet1!$A$63:$B$78</c:f>
              <c:multiLvlStrCache>
                <c:ptCount val="16"/>
                <c:lvl>
                  <c:pt idx="0">
                    <c:v>Walking</c:v>
                  </c:pt>
                  <c:pt idx="1">
                    <c:v>Cycling</c:v>
                  </c:pt>
                  <c:pt idx="2">
                    <c:v>Public transport</c:v>
                  </c:pt>
                  <c:pt idx="3">
                    <c:v>Private vehicle</c:v>
                  </c:pt>
                  <c:pt idx="4">
                    <c:v>Walking</c:v>
                  </c:pt>
                  <c:pt idx="5">
                    <c:v>Cycling</c:v>
                  </c:pt>
                  <c:pt idx="6">
                    <c:v>Public transport</c:v>
                  </c:pt>
                  <c:pt idx="7">
                    <c:v>Private vehicle</c:v>
                  </c:pt>
                  <c:pt idx="8">
                    <c:v>Walking</c:v>
                  </c:pt>
                  <c:pt idx="9">
                    <c:v>Cycling</c:v>
                  </c:pt>
                  <c:pt idx="10">
                    <c:v>Public transport</c:v>
                  </c:pt>
                  <c:pt idx="11">
                    <c:v>Private vehicle</c:v>
                  </c:pt>
                  <c:pt idx="12">
                    <c:v>Walking</c:v>
                  </c:pt>
                  <c:pt idx="13">
                    <c:v>Cycling</c:v>
                  </c:pt>
                  <c:pt idx="14">
                    <c:v>Public transport</c:v>
                  </c:pt>
                  <c:pt idx="15">
                    <c:v>Private vehicle</c:v>
                  </c:pt>
                </c:lvl>
                <c:lvl>
                  <c:pt idx="0">
                    <c:v>Primary school</c:v>
                  </c:pt>
                  <c:pt idx="4">
                    <c:v>Secondary school</c:v>
                  </c:pt>
                  <c:pt idx="8">
                    <c:v>General practitioner</c:v>
                  </c:pt>
                  <c:pt idx="12">
                    <c:v>Supermarket</c:v>
                  </c:pt>
                </c:lvl>
              </c:multiLvlStrCache>
            </c:multiLvlStrRef>
          </c:cat>
          <c:val>
            <c:numRef>
              <c:f>Sheet1!$C$63:$C$78</c:f>
              <c:numCache>
                <c:formatCode>0%</c:formatCode>
                <c:ptCount val="16"/>
                <c:pt idx="0">
                  <c:v>0.6</c:v>
                </c:pt>
                <c:pt idx="1">
                  <c:v>0.89</c:v>
                </c:pt>
                <c:pt idx="2">
                  <c:v>0.69</c:v>
                </c:pt>
                <c:pt idx="3">
                  <c:v>0.98</c:v>
                </c:pt>
                <c:pt idx="4">
                  <c:v>0.19</c:v>
                </c:pt>
                <c:pt idx="5">
                  <c:v>0.71</c:v>
                </c:pt>
                <c:pt idx="6">
                  <c:v>0.34</c:v>
                </c:pt>
                <c:pt idx="7">
                  <c:v>0.91</c:v>
                </c:pt>
                <c:pt idx="8">
                  <c:v>0.5</c:v>
                </c:pt>
                <c:pt idx="9">
                  <c:v>0.83</c:v>
                </c:pt>
                <c:pt idx="10">
                  <c:v>0.63</c:v>
                </c:pt>
                <c:pt idx="11">
                  <c:v>0.94</c:v>
                </c:pt>
                <c:pt idx="12">
                  <c:v>0.38</c:v>
                </c:pt>
                <c:pt idx="13">
                  <c:v>0.82</c:v>
                </c:pt>
                <c:pt idx="14">
                  <c:v>0.57999999999999996</c:v>
                </c:pt>
                <c:pt idx="15">
                  <c:v>0.94</c:v>
                </c:pt>
              </c:numCache>
            </c:numRef>
          </c:val>
          <c:extLst>
            <c:ext xmlns:c16="http://schemas.microsoft.com/office/drawing/2014/chart" uri="{C3380CC4-5D6E-409C-BE32-E72D297353CC}">
              <c16:uniqueId val="{00000000-0AAB-41B9-A801-0E396A33F557}"/>
            </c:ext>
          </c:extLst>
        </c:ser>
        <c:ser>
          <c:idx val="1"/>
          <c:order val="1"/>
          <c:tx>
            <c:strRef>
              <c:f>Sheet1!$D$62</c:f>
              <c:strCache>
                <c:ptCount val="1"/>
                <c:pt idx="0">
                  <c:v>2019/20</c:v>
                </c:pt>
              </c:strCache>
            </c:strRef>
          </c:tx>
          <c:spPr>
            <a:solidFill>
              <a:srgbClr val="00A9E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Sheet1!$A$63:$B$78</c:f>
              <c:multiLvlStrCache>
                <c:ptCount val="16"/>
                <c:lvl>
                  <c:pt idx="0">
                    <c:v>Walking</c:v>
                  </c:pt>
                  <c:pt idx="1">
                    <c:v>Cycling</c:v>
                  </c:pt>
                  <c:pt idx="2">
                    <c:v>Public transport</c:v>
                  </c:pt>
                  <c:pt idx="3">
                    <c:v>Private vehicle</c:v>
                  </c:pt>
                  <c:pt idx="4">
                    <c:v>Walking</c:v>
                  </c:pt>
                  <c:pt idx="5">
                    <c:v>Cycling</c:v>
                  </c:pt>
                  <c:pt idx="6">
                    <c:v>Public transport</c:v>
                  </c:pt>
                  <c:pt idx="7">
                    <c:v>Private vehicle</c:v>
                  </c:pt>
                  <c:pt idx="8">
                    <c:v>Walking</c:v>
                  </c:pt>
                  <c:pt idx="9">
                    <c:v>Cycling</c:v>
                  </c:pt>
                  <c:pt idx="10">
                    <c:v>Public transport</c:v>
                  </c:pt>
                  <c:pt idx="11">
                    <c:v>Private vehicle</c:v>
                  </c:pt>
                  <c:pt idx="12">
                    <c:v>Walking</c:v>
                  </c:pt>
                  <c:pt idx="13">
                    <c:v>Cycling</c:v>
                  </c:pt>
                  <c:pt idx="14">
                    <c:v>Public transport</c:v>
                  </c:pt>
                  <c:pt idx="15">
                    <c:v>Private vehicle</c:v>
                  </c:pt>
                </c:lvl>
                <c:lvl>
                  <c:pt idx="0">
                    <c:v>Primary school</c:v>
                  </c:pt>
                  <c:pt idx="4">
                    <c:v>Secondary school</c:v>
                  </c:pt>
                  <c:pt idx="8">
                    <c:v>General practitioner</c:v>
                  </c:pt>
                  <c:pt idx="12">
                    <c:v>Supermarket</c:v>
                  </c:pt>
                </c:lvl>
              </c:multiLvlStrCache>
            </c:multiLvlStrRef>
          </c:cat>
          <c:val>
            <c:numRef>
              <c:f>Sheet1!$D$63:$D$78</c:f>
              <c:numCache>
                <c:formatCode>0%</c:formatCode>
                <c:ptCount val="16"/>
                <c:pt idx="0">
                  <c:v>0.62</c:v>
                </c:pt>
                <c:pt idx="1">
                  <c:v>0.89</c:v>
                </c:pt>
                <c:pt idx="2">
                  <c:v>0.7</c:v>
                </c:pt>
                <c:pt idx="3">
                  <c:v>0.99</c:v>
                </c:pt>
                <c:pt idx="4">
                  <c:v>0.21</c:v>
                </c:pt>
                <c:pt idx="5">
                  <c:v>0.7</c:v>
                </c:pt>
                <c:pt idx="6">
                  <c:v>0.28000000000000003</c:v>
                </c:pt>
                <c:pt idx="7">
                  <c:v>0.92</c:v>
                </c:pt>
                <c:pt idx="8">
                  <c:v>0.51</c:v>
                </c:pt>
                <c:pt idx="9">
                  <c:v>0.82</c:v>
                </c:pt>
                <c:pt idx="10">
                  <c:v>0.62</c:v>
                </c:pt>
                <c:pt idx="11">
                  <c:v>0.95</c:v>
                </c:pt>
                <c:pt idx="12">
                  <c:v>0.4</c:v>
                </c:pt>
                <c:pt idx="13">
                  <c:v>0.82</c:v>
                </c:pt>
                <c:pt idx="14">
                  <c:v>0.51</c:v>
                </c:pt>
                <c:pt idx="15">
                  <c:v>0.95</c:v>
                </c:pt>
              </c:numCache>
            </c:numRef>
          </c:val>
          <c:extLst>
            <c:ext xmlns:c16="http://schemas.microsoft.com/office/drawing/2014/chart" uri="{C3380CC4-5D6E-409C-BE32-E72D297353CC}">
              <c16:uniqueId val="{00000001-0AAB-41B9-A801-0E396A33F557}"/>
            </c:ext>
          </c:extLst>
        </c:ser>
        <c:dLbls>
          <c:showLegendKey val="0"/>
          <c:showVal val="1"/>
          <c:showCatName val="0"/>
          <c:showSerName val="0"/>
          <c:showPercent val="0"/>
          <c:showBubbleSize val="0"/>
        </c:dLbls>
        <c:gapWidth val="150"/>
        <c:overlap val="-25"/>
        <c:axId val="1725862511"/>
        <c:axId val="1725863343"/>
      </c:barChart>
      <c:catAx>
        <c:axId val="172586251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725863343"/>
        <c:crosses val="autoZero"/>
        <c:auto val="1"/>
        <c:lblAlgn val="ctr"/>
        <c:lblOffset val="100"/>
        <c:noMultiLvlLbl val="0"/>
      </c:catAx>
      <c:valAx>
        <c:axId val="1725863343"/>
        <c:scaling>
          <c:orientation val="minMax"/>
        </c:scaling>
        <c:delete val="1"/>
        <c:axPos val="b"/>
        <c:numFmt formatCode="0%" sourceLinked="1"/>
        <c:majorTickMark val="none"/>
        <c:minorTickMark val="none"/>
        <c:tickLblPos val="nextTo"/>
        <c:crossAx val="172586251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Barriers</a:t>
            </a:r>
            <a:r>
              <a:rPr lang="en-NZ" baseline="0"/>
              <a:t> to access</a:t>
            </a:r>
            <a:endParaRPr lang="en-N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'Barriers to access'!$B$1</c:f>
              <c:strCache>
                <c:ptCount val="1"/>
                <c:pt idx="0">
                  <c:v>2018/19</c:v>
                </c:pt>
              </c:strCache>
            </c:strRef>
          </c:tx>
          <c:spPr>
            <a:solidFill>
              <a:srgbClr val="3BA933"/>
            </a:solidFill>
            <a:ln>
              <a:noFill/>
            </a:ln>
            <a:effectLst/>
          </c:spPr>
          <c:invertIfNegative val="0"/>
          <c:cat>
            <c:strRef>
              <c:f>'Barriers to access'!$A$2:$A$10</c:f>
              <c:strCache>
                <c:ptCount val="9"/>
                <c:pt idx="0">
                  <c:v>COVID-19 (Coronavirus)</c:v>
                </c:pt>
                <c:pt idx="1">
                  <c:v>Bad weather</c:v>
                </c:pt>
                <c:pt idx="2">
                  <c:v>Cost</c:v>
                </c:pt>
                <c:pt idx="3">
                  <c:v>Health condition/disability</c:v>
                </c:pt>
                <c:pt idx="4">
                  <c:v>Would have taken too long</c:v>
                </c:pt>
                <c:pt idx="5">
                  <c:v>Family/caring responsibilities got in the way</c:v>
                </c:pt>
                <c:pt idx="6">
                  <c:v>No suitable transport option available</c:v>
                </c:pt>
                <c:pt idx="7">
                  <c:v>Poor driving conditions</c:v>
                </c:pt>
                <c:pt idx="8">
                  <c:v>Traffic conditions were too bad</c:v>
                </c:pt>
              </c:strCache>
            </c:strRef>
          </c:cat>
          <c:val>
            <c:numRef>
              <c:f>'Barriers to access'!$B$2:$B$10</c:f>
              <c:numCache>
                <c:formatCode>0%</c:formatCode>
                <c:ptCount val="9"/>
                <c:pt idx="0">
                  <c:v>0</c:v>
                </c:pt>
                <c:pt idx="1">
                  <c:v>0.34</c:v>
                </c:pt>
                <c:pt idx="2">
                  <c:v>0.23</c:v>
                </c:pt>
                <c:pt idx="3">
                  <c:v>0.2</c:v>
                </c:pt>
                <c:pt idx="4">
                  <c:v>0.19</c:v>
                </c:pt>
                <c:pt idx="5">
                  <c:v>0.18</c:v>
                </c:pt>
                <c:pt idx="6">
                  <c:v>0.14000000000000001</c:v>
                </c:pt>
                <c:pt idx="7">
                  <c:v>0.11</c:v>
                </c:pt>
                <c:pt idx="8">
                  <c:v>0.11</c:v>
                </c:pt>
              </c:numCache>
            </c:numRef>
          </c:val>
          <c:extLst>
            <c:ext xmlns:c16="http://schemas.microsoft.com/office/drawing/2014/chart" uri="{C3380CC4-5D6E-409C-BE32-E72D297353CC}">
              <c16:uniqueId val="{00000000-1B92-4177-975A-C9BBEA16B9E8}"/>
            </c:ext>
          </c:extLst>
        </c:ser>
        <c:ser>
          <c:idx val="1"/>
          <c:order val="1"/>
          <c:tx>
            <c:strRef>
              <c:f>'Barriers to access'!$C$1</c:f>
              <c:strCache>
                <c:ptCount val="1"/>
                <c:pt idx="0">
                  <c:v>2019/20</c:v>
                </c:pt>
              </c:strCache>
            </c:strRef>
          </c:tx>
          <c:spPr>
            <a:solidFill>
              <a:srgbClr val="00A9EF"/>
            </a:solidFill>
            <a:ln>
              <a:noFill/>
            </a:ln>
            <a:effectLst/>
          </c:spPr>
          <c:invertIfNegative val="0"/>
          <c:cat>
            <c:strRef>
              <c:f>'Barriers to access'!$A$2:$A$10</c:f>
              <c:strCache>
                <c:ptCount val="9"/>
                <c:pt idx="0">
                  <c:v>COVID-19 (Coronavirus)</c:v>
                </c:pt>
                <c:pt idx="1">
                  <c:v>Bad weather</c:v>
                </c:pt>
                <c:pt idx="2">
                  <c:v>Cost</c:v>
                </c:pt>
                <c:pt idx="3">
                  <c:v>Health condition/disability</c:v>
                </c:pt>
                <c:pt idx="4">
                  <c:v>Would have taken too long</c:v>
                </c:pt>
                <c:pt idx="5">
                  <c:v>Family/caring responsibilities got in the way</c:v>
                </c:pt>
                <c:pt idx="6">
                  <c:v>No suitable transport option available</c:v>
                </c:pt>
                <c:pt idx="7">
                  <c:v>Poor driving conditions</c:v>
                </c:pt>
                <c:pt idx="8">
                  <c:v>Traffic conditions were too bad</c:v>
                </c:pt>
              </c:strCache>
            </c:strRef>
          </c:cat>
          <c:val>
            <c:numRef>
              <c:f>'Barriers to access'!$C$2:$C$10</c:f>
              <c:numCache>
                <c:formatCode>0%</c:formatCode>
                <c:ptCount val="9"/>
                <c:pt idx="0">
                  <c:v>0.28000000000000003</c:v>
                </c:pt>
                <c:pt idx="1">
                  <c:v>0.25</c:v>
                </c:pt>
                <c:pt idx="2">
                  <c:v>0.19</c:v>
                </c:pt>
                <c:pt idx="3">
                  <c:v>0.15</c:v>
                </c:pt>
                <c:pt idx="4">
                  <c:v>0.16</c:v>
                </c:pt>
                <c:pt idx="5">
                  <c:v>0.14000000000000001</c:v>
                </c:pt>
                <c:pt idx="6">
                  <c:v>0.13</c:v>
                </c:pt>
                <c:pt idx="7">
                  <c:v>0.08</c:v>
                </c:pt>
                <c:pt idx="8">
                  <c:v>0.09</c:v>
                </c:pt>
              </c:numCache>
            </c:numRef>
          </c:val>
          <c:extLst>
            <c:ext xmlns:c16="http://schemas.microsoft.com/office/drawing/2014/chart" uri="{C3380CC4-5D6E-409C-BE32-E72D297353CC}">
              <c16:uniqueId val="{00000001-1B92-4177-975A-C9BBEA16B9E8}"/>
            </c:ext>
          </c:extLst>
        </c:ser>
        <c:dLbls>
          <c:showLegendKey val="0"/>
          <c:showVal val="0"/>
          <c:showCatName val="0"/>
          <c:showSerName val="0"/>
          <c:showPercent val="0"/>
          <c:showBubbleSize val="0"/>
        </c:dLbls>
        <c:gapWidth val="182"/>
        <c:axId val="436916207"/>
        <c:axId val="436916623"/>
      </c:barChart>
      <c:catAx>
        <c:axId val="43691620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916623"/>
        <c:crosses val="autoZero"/>
        <c:auto val="1"/>
        <c:lblAlgn val="ctr"/>
        <c:lblOffset val="100"/>
        <c:noMultiLvlLbl val="0"/>
      </c:catAx>
      <c:valAx>
        <c:axId val="43691662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9162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Total number of respondents unable to take a journey in the previous week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Sheet1!$P$77</c:f>
              <c:strCache>
                <c:ptCount val="1"/>
                <c:pt idx="0">
                  <c:v>Total Number of Respondents Unable to take a journey in the previous week</c:v>
                </c:pt>
              </c:strCache>
            </c:strRef>
          </c:tx>
          <c:spPr>
            <a:solidFill>
              <a:srgbClr val="00A9EF"/>
            </a:solidFill>
            <a:ln>
              <a:noFill/>
            </a:ln>
            <a:effectLst/>
          </c:spPr>
          <c:invertIfNegative val="0"/>
          <c:dPt>
            <c:idx val="1"/>
            <c:invertIfNegative val="0"/>
            <c:bubble3D val="0"/>
            <c:spPr>
              <a:solidFill>
                <a:srgbClr val="3BA933"/>
              </a:solidFill>
              <a:ln>
                <a:noFill/>
              </a:ln>
              <a:effectLst/>
            </c:spPr>
            <c:extLst>
              <c:ext xmlns:c16="http://schemas.microsoft.com/office/drawing/2014/chart" uri="{C3380CC4-5D6E-409C-BE32-E72D297353CC}">
                <c16:uniqueId val="{00000001-6629-4A36-8C5B-52290E22895B}"/>
              </c:ext>
            </c:extLst>
          </c:dPt>
          <c:cat>
            <c:strRef>
              <c:f>Sheet1!$Q$76:$R$76</c:f>
              <c:strCache>
                <c:ptCount val="2"/>
                <c:pt idx="0">
                  <c:v>2018/19</c:v>
                </c:pt>
                <c:pt idx="1">
                  <c:v>2019/20</c:v>
                </c:pt>
              </c:strCache>
            </c:strRef>
          </c:cat>
          <c:val>
            <c:numRef>
              <c:f>Sheet1!$Q$77:$R$77</c:f>
              <c:numCache>
                <c:formatCode>General</c:formatCode>
                <c:ptCount val="2"/>
                <c:pt idx="0">
                  <c:v>29</c:v>
                </c:pt>
                <c:pt idx="1">
                  <c:v>28</c:v>
                </c:pt>
              </c:numCache>
            </c:numRef>
          </c:val>
          <c:extLst>
            <c:ext xmlns:c16="http://schemas.microsoft.com/office/drawing/2014/chart" uri="{C3380CC4-5D6E-409C-BE32-E72D297353CC}">
              <c16:uniqueId val="{00000002-6629-4A36-8C5B-52290E22895B}"/>
            </c:ext>
          </c:extLst>
        </c:ser>
        <c:dLbls>
          <c:showLegendKey val="0"/>
          <c:showVal val="0"/>
          <c:showCatName val="0"/>
          <c:showSerName val="0"/>
          <c:showPercent val="0"/>
          <c:showBubbleSize val="0"/>
        </c:dLbls>
        <c:gapWidth val="219"/>
        <c:overlap val="-27"/>
        <c:axId val="1725857103"/>
        <c:axId val="1725859183"/>
      </c:barChart>
      <c:catAx>
        <c:axId val="17258571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5859183"/>
        <c:crosses val="autoZero"/>
        <c:auto val="1"/>
        <c:lblAlgn val="ctr"/>
        <c:lblOffset val="100"/>
        <c:noMultiLvlLbl val="0"/>
      </c:catAx>
      <c:valAx>
        <c:axId val="1725859183"/>
        <c:scaling>
          <c:orientation val="minMax"/>
          <c:max val="3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58571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Number of people</a:t>
            </a:r>
            <a:r>
              <a:rPr lang="en-NZ" baseline="0"/>
              <a:t> unable to take a journey in the previous week by purpose</a:t>
            </a:r>
            <a:endParaRPr lang="en-N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Sheet1!$Q$76</c:f>
              <c:strCache>
                <c:ptCount val="1"/>
                <c:pt idx="0">
                  <c:v>2018/19</c:v>
                </c:pt>
              </c:strCache>
            </c:strRef>
          </c:tx>
          <c:spPr>
            <a:solidFill>
              <a:srgbClr val="00A9EF"/>
            </a:solidFill>
            <a:ln>
              <a:noFill/>
            </a:ln>
            <a:effectLst/>
          </c:spPr>
          <c:invertIfNegative val="0"/>
          <c:cat>
            <c:strRef>
              <c:f>Sheet1!$P$78:$P$82</c:f>
              <c:strCache>
                <c:ptCount val="5"/>
                <c:pt idx="0">
                  <c:v>Journey to go shopping</c:v>
                </c:pt>
                <c:pt idx="1">
                  <c:v>Journey to go home (from work or shopping)</c:v>
                </c:pt>
                <c:pt idx="2">
                  <c:v>Journey to go to work</c:v>
                </c:pt>
                <c:pt idx="3">
                  <c:v>Journey to go to make a social visit</c:v>
                </c:pt>
                <c:pt idx="4">
                  <c:v>Journey for sports or exercise</c:v>
                </c:pt>
              </c:strCache>
            </c:strRef>
          </c:cat>
          <c:val>
            <c:numRef>
              <c:f>Sheet1!$Q$78:$Q$82</c:f>
              <c:numCache>
                <c:formatCode>General</c:formatCode>
                <c:ptCount val="5"/>
                <c:pt idx="0">
                  <c:v>47</c:v>
                </c:pt>
                <c:pt idx="1">
                  <c:v>35</c:v>
                </c:pt>
                <c:pt idx="2">
                  <c:v>34</c:v>
                </c:pt>
                <c:pt idx="3">
                  <c:v>30</c:v>
                </c:pt>
                <c:pt idx="4">
                  <c:v>24</c:v>
                </c:pt>
              </c:numCache>
            </c:numRef>
          </c:val>
          <c:extLst>
            <c:ext xmlns:c16="http://schemas.microsoft.com/office/drawing/2014/chart" uri="{C3380CC4-5D6E-409C-BE32-E72D297353CC}">
              <c16:uniqueId val="{00000000-1CD1-4FB5-AEAD-FB9248523E8B}"/>
            </c:ext>
          </c:extLst>
        </c:ser>
        <c:ser>
          <c:idx val="1"/>
          <c:order val="1"/>
          <c:tx>
            <c:strRef>
              <c:f>Sheet1!$R$76</c:f>
              <c:strCache>
                <c:ptCount val="1"/>
                <c:pt idx="0">
                  <c:v>2019/20</c:v>
                </c:pt>
              </c:strCache>
            </c:strRef>
          </c:tx>
          <c:spPr>
            <a:solidFill>
              <a:srgbClr val="3BA933"/>
            </a:solidFill>
            <a:ln>
              <a:noFill/>
            </a:ln>
            <a:effectLst/>
          </c:spPr>
          <c:invertIfNegative val="0"/>
          <c:cat>
            <c:strRef>
              <c:f>Sheet1!$P$78:$P$82</c:f>
              <c:strCache>
                <c:ptCount val="5"/>
                <c:pt idx="0">
                  <c:v>Journey to go shopping</c:v>
                </c:pt>
                <c:pt idx="1">
                  <c:v>Journey to go home (from work or shopping)</c:v>
                </c:pt>
                <c:pt idx="2">
                  <c:v>Journey to go to work</c:v>
                </c:pt>
                <c:pt idx="3">
                  <c:v>Journey to go to make a social visit</c:v>
                </c:pt>
                <c:pt idx="4">
                  <c:v>Journey for sports or exercise</c:v>
                </c:pt>
              </c:strCache>
            </c:strRef>
          </c:cat>
          <c:val>
            <c:numRef>
              <c:f>Sheet1!$R$78:$R$82</c:f>
              <c:numCache>
                <c:formatCode>General</c:formatCode>
                <c:ptCount val="5"/>
                <c:pt idx="0">
                  <c:v>47</c:v>
                </c:pt>
                <c:pt idx="1">
                  <c:v>22</c:v>
                </c:pt>
                <c:pt idx="2">
                  <c:v>28</c:v>
                </c:pt>
                <c:pt idx="3">
                  <c:v>33</c:v>
                </c:pt>
                <c:pt idx="4">
                  <c:v>25</c:v>
                </c:pt>
              </c:numCache>
            </c:numRef>
          </c:val>
          <c:extLst>
            <c:ext xmlns:c16="http://schemas.microsoft.com/office/drawing/2014/chart" uri="{C3380CC4-5D6E-409C-BE32-E72D297353CC}">
              <c16:uniqueId val="{00000001-1CD1-4FB5-AEAD-FB9248523E8B}"/>
            </c:ext>
          </c:extLst>
        </c:ser>
        <c:dLbls>
          <c:showLegendKey val="0"/>
          <c:showVal val="0"/>
          <c:showCatName val="0"/>
          <c:showSerName val="0"/>
          <c:showPercent val="0"/>
          <c:showBubbleSize val="0"/>
        </c:dLbls>
        <c:gapWidth val="219"/>
        <c:overlap val="-27"/>
        <c:axId val="1342852431"/>
        <c:axId val="1342859087"/>
      </c:barChart>
      <c:catAx>
        <c:axId val="13428524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2859087"/>
        <c:crosses val="autoZero"/>
        <c:auto val="1"/>
        <c:lblAlgn val="ctr"/>
        <c:lblOffset val="100"/>
        <c:noMultiLvlLbl val="0"/>
      </c:catAx>
      <c:valAx>
        <c:axId val="13428590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28524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Unable to make a journey by age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'unabke to make trip by age'!$B$1</c:f>
              <c:strCache>
                <c:ptCount val="1"/>
                <c:pt idx="0">
                  <c:v>2018/19</c:v>
                </c:pt>
              </c:strCache>
            </c:strRef>
          </c:tx>
          <c:spPr>
            <a:solidFill>
              <a:srgbClr val="3BA933"/>
            </a:solidFill>
            <a:ln>
              <a:noFill/>
            </a:ln>
            <a:effectLst/>
          </c:spPr>
          <c:invertIfNegative val="0"/>
          <c:cat>
            <c:strRef>
              <c:f>'unabke to make trip by age'!$A$2:$A$5</c:f>
              <c:strCache>
                <c:ptCount val="4"/>
                <c:pt idx="0">
                  <c:v>15-29</c:v>
                </c:pt>
                <c:pt idx="1">
                  <c:v>30-49</c:v>
                </c:pt>
                <c:pt idx="2">
                  <c:v>50-64</c:v>
                </c:pt>
                <c:pt idx="3">
                  <c:v>65 and over</c:v>
                </c:pt>
              </c:strCache>
            </c:strRef>
          </c:cat>
          <c:val>
            <c:numRef>
              <c:f>'unabke to make trip by age'!$B$2:$B$5</c:f>
              <c:numCache>
                <c:formatCode>0%</c:formatCode>
                <c:ptCount val="4"/>
                <c:pt idx="0">
                  <c:v>0.21</c:v>
                </c:pt>
                <c:pt idx="1">
                  <c:v>0.16</c:v>
                </c:pt>
                <c:pt idx="2">
                  <c:v>0.05</c:v>
                </c:pt>
                <c:pt idx="3">
                  <c:v>0.02</c:v>
                </c:pt>
              </c:numCache>
            </c:numRef>
          </c:val>
          <c:extLst>
            <c:ext xmlns:c16="http://schemas.microsoft.com/office/drawing/2014/chart" uri="{C3380CC4-5D6E-409C-BE32-E72D297353CC}">
              <c16:uniqueId val="{00000000-88DA-4AB8-947A-4C862C9CAB4F}"/>
            </c:ext>
          </c:extLst>
        </c:ser>
        <c:ser>
          <c:idx val="1"/>
          <c:order val="1"/>
          <c:tx>
            <c:strRef>
              <c:f>'unabke to make trip by age'!$C$1</c:f>
              <c:strCache>
                <c:ptCount val="1"/>
                <c:pt idx="0">
                  <c:v>2019/20</c:v>
                </c:pt>
              </c:strCache>
            </c:strRef>
          </c:tx>
          <c:spPr>
            <a:solidFill>
              <a:srgbClr val="00A9EF"/>
            </a:solidFill>
            <a:ln>
              <a:noFill/>
            </a:ln>
            <a:effectLst/>
          </c:spPr>
          <c:invertIfNegative val="0"/>
          <c:cat>
            <c:strRef>
              <c:f>'unabke to make trip by age'!$A$2:$A$5</c:f>
              <c:strCache>
                <c:ptCount val="4"/>
                <c:pt idx="0">
                  <c:v>15-29</c:v>
                </c:pt>
                <c:pt idx="1">
                  <c:v>30-49</c:v>
                </c:pt>
                <c:pt idx="2">
                  <c:v>50-64</c:v>
                </c:pt>
                <c:pt idx="3">
                  <c:v>65 and over</c:v>
                </c:pt>
              </c:strCache>
            </c:strRef>
          </c:cat>
          <c:val>
            <c:numRef>
              <c:f>'unabke to make trip by age'!$C$2:$C$5</c:f>
              <c:numCache>
                <c:formatCode>0%</c:formatCode>
                <c:ptCount val="4"/>
                <c:pt idx="0">
                  <c:v>0.19</c:v>
                </c:pt>
                <c:pt idx="1">
                  <c:v>0.12</c:v>
                </c:pt>
                <c:pt idx="2">
                  <c:v>0.05</c:v>
                </c:pt>
                <c:pt idx="3">
                  <c:v>0.02</c:v>
                </c:pt>
              </c:numCache>
            </c:numRef>
          </c:val>
          <c:extLst>
            <c:ext xmlns:c16="http://schemas.microsoft.com/office/drawing/2014/chart" uri="{C3380CC4-5D6E-409C-BE32-E72D297353CC}">
              <c16:uniqueId val="{00000001-88DA-4AB8-947A-4C862C9CAB4F}"/>
            </c:ext>
          </c:extLst>
        </c:ser>
        <c:dLbls>
          <c:showLegendKey val="0"/>
          <c:showVal val="0"/>
          <c:showCatName val="0"/>
          <c:showSerName val="0"/>
          <c:showPercent val="0"/>
          <c:showBubbleSize val="0"/>
        </c:dLbls>
        <c:gapWidth val="182"/>
        <c:axId val="584522687"/>
        <c:axId val="584523519"/>
      </c:barChart>
      <c:catAx>
        <c:axId val="58452268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4523519"/>
        <c:crosses val="autoZero"/>
        <c:auto val="1"/>
        <c:lblAlgn val="ctr"/>
        <c:lblOffset val="100"/>
        <c:noMultiLvlLbl val="0"/>
      </c:catAx>
      <c:valAx>
        <c:axId val="584523519"/>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45226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Length of state highway infrastructure susceptible to coastal inundation with sea level rise (km) </a:t>
            </a:r>
          </a:p>
        </c:rich>
      </c:tx>
      <c:layout>
        <c:manualLayout>
          <c:xMode val="edge"/>
          <c:yMode val="edge"/>
          <c:x val="0.11441306907890555"/>
          <c:y val="3.194002030652359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rgbClr val="B4D012"/>
              </a:solidFill>
              <a:ln>
                <a:noFill/>
              </a:ln>
              <a:effectLst/>
            </c:spPr>
            <c:extLst>
              <c:ext xmlns:c16="http://schemas.microsoft.com/office/drawing/2014/chart" uri="{C3380CC4-5D6E-409C-BE32-E72D297353CC}">
                <c16:uniqueId val="{00000001-F8EC-4C94-80BB-A19E945DD1E0}"/>
              </c:ext>
            </c:extLst>
          </c:dPt>
          <c:dPt>
            <c:idx val="1"/>
            <c:invertIfNegative val="0"/>
            <c:bubble3D val="0"/>
            <c:spPr>
              <a:solidFill>
                <a:srgbClr val="3BA933"/>
              </a:solidFill>
              <a:ln>
                <a:noFill/>
              </a:ln>
              <a:effectLst/>
            </c:spPr>
            <c:extLst>
              <c:ext xmlns:c16="http://schemas.microsoft.com/office/drawing/2014/chart" uri="{C3380CC4-5D6E-409C-BE32-E72D297353CC}">
                <c16:uniqueId val="{00000003-F8EC-4C94-80BB-A19E945DD1E0}"/>
              </c:ext>
            </c:extLst>
          </c:dPt>
          <c:dPt>
            <c:idx val="2"/>
            <c:invertIfNegative val="0"/>
            <c:bubble3D val="0"/>
            <c:spPr>
              <a:solidFill>
                <a:srgbClr val="00938C"/>
              </a:solidFill>
              <a:ln>
                <a:noFill/>
              </a:ln>
              <a:effectLst/>
            </c:spPr>
            <c:extLst>
              <c:ext xmlns:c16="http://schemas.microsoft.com/office/drawing/2014/chart" uri="{C3380CC4-5D6E-409C-BE32-E72D297353CC}">
                <c16:uniqueId val="{00000005-F8EC-4C94-80BB-A19E945DD1E0}"/>
              </c:ext>
            </c:extLst>
          </c:dPt>
          <c:dPt>
            <c:idx val="3"/>
            <c:invertIfNegative val="0"/>
            <c:bubble3D val="0"/>
            <c:spPr>
              <a:solidFill>
                <a:srgbClr val="00A9EF"/>
              </a:solidFill>
              <a:ln>
                <a:noFill/>
              </a:ln>
              <a:effectLst/>
            </c:spPr>
            <c:extLst>
              <c:ext xmlns:c16="http://schemas.microsoft.com/office/drawing/2014/chart" uri="{C3380CC4-5D6E-409C-BE32-E72D297353CC}">
                <c16:uniqueId val="{00000007-F8EC-4C94-80BB-A19E945DD1E0}"/>
              </c:ext>
            </c:extLst>
          </c:dPt>
          <c:cat>
            <c:strRef>
              <c:f>'\Users\farrb\Downloads\[TOF4.7 Coastal inundation with sea level rise (1).xlsx]Sheet1'!$B$2:$E$2</c:f>
              <c:strCache>
                <c:ptCount val="4"/>
                <c:pt idx="0">
                  <c:v>Mean High Water Springs (exceeded 10% of the time) + 0.5m Sea Level Rise (a)</c:v>
                </c:pt>
                <c:pt idx="1">
                  <c:v>Mean High Water Springs (exceeded 10% of the time) + 1.5m Sea Level Rise (b)</c:v>
                </c:pt>
                <c:pt idx="2">
                  <c:v>1% Annual Exceedance Probability + 0m Sea Level Rise (c)</c:v>
                </c:pt>
                <c:pt idx="3">
                  <c:v>1% Annual Exceedance Probability + 1.5m Sea Level Rise (d)</c:v>
                </c:pt>
              </c:strCache>
            </c:strRef>
          </c:cat>
          <c:val>
            <c:numRef>
              <c:f>'\Users\farrb\Downloads\[TOF4.7 Coastal inundation with sea level rise (1).xlsx]Sheet1'!$B$19:$E$19</c:f>
              <c:numCache>
                <c:formatCode>General</c:formatCode>
                <c:ptCount val="4"/>
                <c:pt idx="0">
                  <c:v>20.98</c:v>
                </c:pt>
                <c:pt idx="1">
                  <c:v>154.96</c:v>
                </c:pt>
                <c:pt idx="2">
                  <c:v>161.34</c:v>
                </c:pt>
                <c:pt idx="3">
                  <c:v>478.81</c:v>
                </c:pt>
              </c:numCache>
            </c:numRef>
          </c:val>
          <c:extLst>
            <c:ext xmlns:c16="http://schemas.microsoft.com/office/drawing/2014/chart" uri="{C3380CC4-5D6E-409C-BE32-E72D297353CC}">
              <c16:uniqueId val="{00000008-F8EC-4C94-80BB-A19E945DD1E0}"/>
            </c:ext>
          </c:extLst>
        </c:ser>
        <c:dLbls>
          <c:showLegendKey val="0"/>
          <c:showVal val="0"/>
          <c:showCatName val="0"/>
          <c:showSerName val="0"/>
          <c:showPercent val="0"/>
          <c:showBubbleSize val="0"/>
        </c:dLbls>
        <c:gapWidth val="182"/>
        <c:axId val="1521240207"/>
        <c:axId val="1521244367"/>
      </c:barChart>
      <c:catAx>
        <c:axId val="152124020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1244367"/>
        <c:crosses val="autoZero"/>
        <c:auto val="1"/>
        <c:lblAlgn val="ctr"/>
        <c:lblOffset val="100"/>
        <c:noMultiLvlLbl val="0"/>
      </c:catAx>
      <c:valAx>
        <c:axId val="1521244367"/>
        <c:scaling>
          <c:orientation val="minMax"/>
          <c:max val="600"/>
          <c:min val="0"/>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1240207"/>
        <c:crosses val="autoZero"/>
        <c:crossBetween val="between"/>
        <c:majorUnit val="1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a:t>
            </a:r>
            <a:r>
              <a:rPr lang="en-NZ" baseline="0"/>
              <a:t> of state highway network susceptible to coastal inundation with sea level rise</a:t>
            </a:r>
            <a:endParaRPr lang="en-N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B4D012"/>
              </a:solidFill>
              <a:ln>
                <a:noFill/>
              </a:ln>
              <a:effectLst/>
            </c:spPr>
            <c:extLst>
              <c:ext xmlns:c16="http://schemas.microsoft.com/office/drawing/2014/chart" uri="{C3380CC4-5D6E-409C-BE32-E72D297353CC}">
                <c16:uniqueId val="{00000001-41E3-42D1-A53A-0410C7F96AF3}"/>
              </c:ext>
            </c:extLst>
          </c:dPt>
          <c:dPt>
            <c:idx val="1"/>
            <c:invertIfNegative val="0"/>
            <c:bubble3D val="0"/>
            <c:spPr>
              <a:solidFill>
                <a:srgbClr val="3BA933"/>
              </a:solidFill>
              <a:ln>
                <a:noFill/>
              </a:ln>
              <a:effectLst/>
            </c:spPr>
            <c:extLst>
              <c:ext xmlns:c16="http://schemas.microsoft.com/office/drawing/2014/chart" uri="{C3380CC4-5D6E-409C-BE32-E72D297353CC}">
                <c16:uniqueId val="{00000003-41E3-42D1-A53A-0410C7F96AF3}"/>
              </c:ext>
            </c:extLst>
          </c:dPt>
          <c:dPt>
            <c:idx val="2"/>
            <c:invertIfNegative val="0"/>
            <c:bubble3D val="0"/>
            <c:spPr>
              <a:solidFill>
                <a:srgbClr val="00938C"/>
              </a:solidFill>
              <a:ln>
                <a:noFill/>
              </a:ln>
              <a:effectLst/>
            </c:spPr>
            <c:extLst>
              <c:ext xmlns:c16="http://schemas.microsoft.com/office/drawing/2014/chart" uri="{C3380CC4-5D6E-409C-BE32-E72D297353CC}">
                <c16:uniqueId val="{00000005-41E3-42D1-A53A-0410C7F96AF3}"/>
              </c:ext>
            </c:extLst>
          </c:dPt>
          <c:dPt>
            <c:idx val="3"/>
            <c:invertIfNegative val="0"/>
            <c:bubble3D val="0"/>
            <c:spPr>
              <a:solidFill>
                <a:srgbClr val="00A9EF"/>
              </a:solidFill>
              <a:ln>
                <a:noFill/>
              </a:ln>
              <a:effectLst/>
            </c:spPr>
            <c:extLst>
              <c:ext xmlns:c16="http://schemas.microsoft.com/office/drawing/2014/chart" uri="{C3380CC4-5D6E-409C-BE32-E72D297353CC}">
                <c16:uniqueId val="{00000007-41E3-42D1-A53A-0410C7F96AF3}"/>
              </c:ext>
            </c:extLst>
          </c:dPt>
          <c:cat>
            <c:strRef>
              <c:f>Sheet1!$AK$98:$AN$98</c:f>
              <c:strCache>
                <c:ptCount val="4"/>
                <c:pt idx="0">
                  <c:v>Mean High Water Springs (exceeded 10% of the time) + 0.5m Sea Level Rise (a)</c:v>
                </c:pt>
                <c:pt idx="1">
                  <c:v>Mean High Water Springs (exceeded 10% of the time) + 1.5m Sea Level Rise (b)</c:v>
                </c:pt>
                <c:pt idx="2">
                  <c:v>1% Annual Exceedance Probability + 0m Sea Level Rise (c)</c:v>
                </c:pt>
                <c:pt idx="3">
                  <c:v>1% Annual Exceedance Probability + 1.5m Sea Level Rise (d)</c:v>
                </c:pt>
              </c:strCache>
            </c:strRef>
          </c:cat>
          <c:val>
            <c:numRef>
              <c:f>Sheet1!$AK$116:$AN$116</c:f>
              <c:numCache>
                <c:formatCode>0.0%</c:formatCode>
                <c:ptCount val="4"/>
                <c:pt idx="0">
                  <c:v>2E-3</c:v>
                </c:pt>
                <c:pt idx="1">
                  <c:v>1.2999999999999999E-2</c:v>
                </c:pt>
                <c:pt idx="2">
                  <c:v>1.2999999999999999E-2</c:v>
                </c:pt>
                <c:pt idx="3">
                  <c:v>0.04</c:v>
                </c:pt>
              </c:numCache>
            </c:numRef>
          </c:val>
          <c:extLst>
            <c:ext xmlns:c16="http://schemas.microsoft.com/office/drawing/2014/chart" uri="{C3380CC4-5D6E-409C-BE32-E72D297353CC}">
              <c16:uniqueId val="{00000008-41E3-42D1-A53A-0410C7F96AF3}"/>
            </c:ext>
          </c:extLst>
        </c:ser>
        <c:dLbls>
          <c:showLegendKey val="0"/>
          <c:showVal val="0"/>
          <c:showCatName val="0"/>
          <c:showSerName val="0"/>
          <c:showPercent val="0"/>
          <c:showBubbleSize val="0"/>
        </c:dLbls>
        <c:gapWidth val="219"/>
        <c:overlap val="-27"/>
        <c:axId val="1725878735"/>
        <c:axId val="1725865839"/>
      </c:barChart>
      <c:catAx>
        <c:axId val="17258787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5865839"/>
        <c:crosses val="autoZero"/>
        <c:auto val="1"/>
        <c:lblAlgn val="ctr"/>
        <c:lblOffset val="100"/>
        <c:noMultiLvlLbl val="0"/>
      </c:catAx>
      <c:valAx>
        <c:axId val="1725865839"/>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587873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Pedestrian and Cyclist Injuries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Sheet1!$Q$147</c:f>
              <c:strCache>
                <c:ptCount val="1"/>
                <c:pt idx="0">
                  <c:v>Cyclist</c:v>
                </c:pt>
              </c:strCache>
            </c:strRef>
          </c:tx>
          <c:spPr>
            <a:ln w="28575" cap="rnd">
              <a:solidFill>
                <a:srgbClr val="B4D012"/>
              </a:solidFill>
              <a:round/>
            </a:ln>
            <a:effectLst/>
          </c:spPr>
          <c:marker>
            <c:symbol val="none"/>
          </c:marker>
          <c:cat>
            <c:strRef>
              <c:f>Sheet1!$R$146:$V$146</c:f>
              <c:strCache>
                <c:ptCount val="5"/>
                <c:pt idx="0">
                  <c:v>2015/16</c:v>
                </c:pt>
                <c:pt idx="1">
                  <c:v>2016/17</c:v>
                </c:pt>
                <c:pt idx="2">
                  <c:v>2017/18</c:v>
                </c:pt>
                <c:pt idx="3">
                  <c:v>2018/19</c:v>
                </c:pt>
                <c:pt idx="4">
                  <c:v>2019/20</c:v>
                </c:pt>
              </c:strCache>
            </c:strRef>
          </c:cat>
          <c:val>
            <c:numRef>
              <c:f>Sheet1!$R$147:$V$147</c:f>
              <c:numCache>
                <c:formatCode>General</c:formatCode>
                <c:ptCount val="5"/>
                <c:pt idx="0" formatCode="#,##0">
                  <c:v>1015</c:v>
                </c:pt>
                <c:pt idx="1">
                  <c:v>882</c:v>
                </c:pt>
                <c:pt idx="2">
                  <c:v>948</c:v>
                </c:pt>
                <c:pt idx="3" formatCode="#,##0">
                  <c:v>1309</c:v>
                </c:pt>
                <c:pt idx="4" formatCode="#,##0">
                  <c:v>1265</c:v>
                </c:pt>
              </c:numCache>
            </c:numRef>
          </c:val>
          <c:smooth val="0"/>
          <c:extLst>
            <c:ext xmlns:c16="http://schemas.microsoft.com/office/drawing/2014/chart" uri="{C3380CC4-5D6E-409C-BE32-E72D297353CC}">
              <c16:uniqueId val="{00000000-EEF7-485E-AF49-F3C9EDA131E1}"/>
            </c:ext>
          </c:extLst>
        </c:ser>
        <c:ser>
          <c:idx val="1"/>
          <c:order val="1"/>
          <c:tx>
            <c:strRef>
              <c:f>Sheet1!$Q$148</c:f>
              <c:strCache>
                <c:ptCount val="1"/>
                <c:pt idx="0">
                  <c:v>Pedestrian</c:v>
                </c:pt>
              </c:strCache>
            </c:strRef>
          </c:tx>
          <c:spPr>
            <a:ln w="28575" cap="rnd">
              <a:solidFill>
                <a:srgbClr val="00A9EF"/>
              </a:solidFill>
              <a:round/>
            </a:ln>
            <a:effectLst/>
          </c:spPr>
          <c:marker>
            <c:symbol val="none"/>
          </c:marker>
          <c:cat>
            <c:strRef>
              <c:f>Sheet1!$R$146:$V$146</c:f>
              <c:strCache>
                <c:ptCount val="5"/>
                <c:pt idx="0">
                  <c:v>2015/16</c:v>
                </c:pt>
                <c:pt idx="1">
                  <c:v>2016/17</c:v>
                </c:pt>
                <c:pt idx="2">
                  <c:v>2017/18</c:v>
                </c:pt>
                <c:pt idx="3">
                  <c:v>2018/19</c:v>
                </c:pt>
                <c:pt idx="4">
                  <c:v>2019/20</c:v>
                </c:pt>
              </c:strCache>
            </c:strRef>
          </c:cat>
          <c:val>
            <c:numRef>
              <c:f>Sheet1!$R$148:$V$148</c:f>
              <c:numCache>
                <c:formatCode>#,##0</c:formatCode>
                <c:ptCount val="5"/>
                <c:pt idx="0">
                  <c:v>2671</c:v>
                </c:pt>
                <c:pt idx="1">
                  <c:v>2755</c:v>
                </c:pt>
                <c:pt idx="2">
                  <c:v>3260</c:v>
                </c:pt>
                <c:pt idx="3">
                  <c:v>3040</c:v>
                </c:pt>
                <c:pt idx="4">
                  <c:v>2777</c:v>
                </c:pt>
              </c:numCache>
            </c:numRef>
          </c:val>
          <c:smooth val="0"/>
          <c:extLst>
            <c:ext xmlns:c16="http://schemas.microsoft.com/office/drawing/2014/chart" uri="{C3380CC4-5D6E-409C-BE32-E72D297353CC}">
              <c16:uniqueId val="{00000001-EEF7-485E-AF49-F3C9EDA131E1}"/>
            </c:ext>
          </c:extLst>
        </c:ser>
        <c:dLbls>
          <c:showLegendKey val="0"/>
          <c:showVal val="0"/>
          <c:showCatName val="0"/>
          <c:showSerName val="0"/>
          <c:showPercent val="0"/>
          <c:showBubbleSize val="0"/>
        </c:dLbls>
        <c:smooth val="0"/>
        <c:axId val="1584278671"/>
        <c:axId val="1584256207"/>
      </c:lineChart>
      <c:catAx>
        <c:axId val="15842786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4256207"/>
        <c:crosses val="autoZero"/>
        <c:auto val="1"/>
        <c:lblAlgn val="ctr"/>
        <c:lblOffset val="100"/>
        <c:noMultiLvlLbl val="0"/>
      </c:catAx>
      <c:valAx>
        <c:axId val="158425620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sz="800"/>
                  <a:t>Total number of injuries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4278671"/>
        <c:crosses val="autoZero"/>
        <c:crossBetween val="between"/>
      </c:valAx>
      <c:spPr>
        <a:noFill/>
        <a:ln>
          <a:noFill/>
        </a:ln>
        <a:effectLst/>
      </c:spPr>
    </c:plotArea>
    <c:legend>
      <c:legendPos val="b"/>
      <c:layout>
        <c:manualLayout>
          <c:xMode val="edge"/>
          <c:yMode val="edge"/>
          <c:x val="6.5222486958750839E-2"/>
          <c:y val="0.8761653416860401"/>
          <c:w val="0.85840543843354"/>
          <c:h val="0.1238346583139598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'availability of state highway '!$A$6</c:f>
              <c:strCache>
                <c:ptCount val="1"/>
                <c:pt idx="0">
                  <c:v>Proportion of unplanned road closures resolved within standard timeframes</c:v>
                </c:pt>
              </c:strCache>
            </c:strRef>
          </c:tx>
          <c:spPr>
            <a:solidFill>
              <a:schemeClr val="accent1"/>
            </a:solidFill>
            <a:ln>
              <a:noFill/>
            </a:ln>
            <a:effectLst/>
          </c:spPr>
          <c:invertIfNegative val="0"/>
          <c:dPt>
            <c:idx val="0"/>
            <c:invertIfNegative val="0"/>
            <c:bubble3D val="0"/>
            <c:spPr>
              <a:solidFill>
                <a:srgbClr val="00A9EF"/>
              </a:solidFill>
              <a:ln>
                <a:noFill/>
              </a:ln>
              <a:effectLst/>
            </c:spPr>
            <c:extLst>
              <c:ext xmlns:c16="http://schemas.microsoft.com/office/drawing/2014/chart" uri="{C3380CC4-5D6E-409C-BE32-E72D297353CC}">
                <c16:uniqueId val="{00000001-6F47-47AD-9C05-5FA3CCD4F8A4}"/>
              </c:ext>
            </c:extLst>
          </c:dPt>
          <c:dPt>
            <c:idx val="1"/>
            <c:invertIfNegative val="0"/>
            <c:bubble3D val="0"/>
            <c:spPr>
              <a:solidFill>
                <a:srgbClr val="00938C"/>
              </a:solidFill>
              <a:ln>
                <a:noFill/>
              </a:ln>
              <a:effectLst/>
            </c:spPr>
            <c:extLst>
              <c:ext xmlns:c16="http://schemas.microsoft.com/office/drawing/2014/chart" uri="{C3380CC4-5D6E-409C-BE32-E72D297353CC}">
                <c16:uniqueId val="{00000003-6F47-47AD-9C05-5FA3CCD4F8A4}"/>
              </c:ext>
            </c:extLst>
          </c:dPt>
          <c:dPt>
            <c:idx val="2"/>
            <c:invertIfNegative val="0"/>
            <c:bubble3D val="0"/>
            <c:spPr>
              <a:solidFill>
                <a:srgbClr val="3BA933"/>
              </a:solidFill>
              <a:ln>
                <a:noFill/>
              </a:ln>
              <a:effectLst/>
            </c:spPr>
            <c:extLst>
              <c:ext xmlns:c16="http://schemas.microsoft.com/office/drawing/2014/chart" uri="{C3380CC4-5D6E-409C-BE32-E72D297353CC}">
                <c16:uniqueId val="{00000005-6F47-47AD-9C05-5FA3CCD4F8A4}"/>
              </c:ext>
            </c:extLst>
          </c:dPt>
          <c:dPt>
            <c:idx val="3"/>
            <c:invertIfNegative val="0"/>
            <c:bubble3D val="0"/>
            <c:spPr>
              <a:solidFill>
                <a:srgbClr val="B4D012"/>
              </a:solidFill>
              <a:ln>
                <a:noFill/>
              </a:ln>
              <a:effectLst/>
            </c:spPr>
            <c:extLst>
              <c:ext xmlns:c16="http://schemas.microsoft.com/office/drawing/2014/chart" uri="{C3380CC4-5D6E-409C-BE32-E72D297353CC}">
                <c16:uniqueId val="{00000007-6F47-47AD-9C05-5FA3CCD4F8A4}"/>
              </c:ext>
            </c:extLst>
          </c:dPt>
          <c:dPt>
            <c:idx val="4"/>
            <c:invertIfNegative val="0"/>
            <c:bubble3D val="0"/>
            <c:spPr>
              <a:solidFill>
                <a:srgbClr val="F69E00"/>
              </a:solidFill>
              <a:ln>
                <a:noFill/>
              </a:ln>
              <a:effectLst/>
            </c:spPr>
            <c:extLst>
              <c:ext xmlns:c16="http://schemas.microsoft.com/office/drawing/2014/chart" uri="{C3380CC4-5D6E-409C-BE32-E72D297353CC}">
                <c16:uniqueId val="{00000009-6F47-47AD-9C05-5FA3CCD4F8A4}"/>
              </c:ext>
            </c:extLst>
          </c:dPt>
          <c:cat>
            <c:strRef>
              <c:f>'availability of state highway '!$B$5:$F$5</c:f>
              <c:strCache>
                <c:ptCount val="5"/>
                <c:pt idx="0">
                  <c:v>2015/16</c:v>
                </c:pt>
                <c:pt idx="1">
                  <c:v>2016/17</c:v>
                </c:pt>
                <c:pt idx="2">
                  <c:v>2017/18</c:v>
                </c:pt>
                <c:pt idx="3">
                  <c:v>2018/19</c:v>
                </c:pt>
                <c:pt idx="4">
                  <c:v>2019/20</c:v>
                </c:pt>
              </c:strCache>
            </c:strRef>
          </c:cat>
          <c:val>
            <c:numRef>
              <c:f>'availability of state highway '!$B$6:$F$6</c:f>
              <c:numCache>
                <c:formatCode>0%</c:formatCode>
                <c:ptCount val="5"/>
                <c:pt idx="0">
                  <c:v>0.87</c:v>
                </c:pt>
                <c:pt idx="1">
                  <c:v>0.86</c:v>
                </c:pt>
                <c:pt idx="2">
                  <c:v>0.82</c:v>
                </c:pt>
                <c:pt idx="3">
                  <c:v>0.85</c:v>
                </c:pt>
                <c:pt idx="4">
                  <c:v>0.81</c:v>
                </c:pt>
              </c:numCache>
            </c:numRef>
          </c:val>
          <c:extLst>
            <c:ext xmlns:c16="http://schemas.microsoft.com/office/drawing/2014/chart" uri="{C3380CC4-5D6E-409C-BE32-E72D297353CC}">
              <c16:uniqueId val="{0000000A-6F47-47AD-9C05-5FA3CCD4F8A4}"/>
            </c:ext>
          </c:extLst>
        </c:ser>
        <c:dLbls>
          <c:showLegendKey val="0"/>
          <c:showVal val="0"/>
          <c:showCatName val="0"/>
          <c:showSerName val="0"/>
          <c:showPercent val="0"/>
          <c:showBubbleSize val="0"/>
        </c:dLbls>
        <c:gapWidth val="219"/>
        <c:overlap val="-27"/>
        <c:axId val="621224335"/>
        <c:axId val="621224751"/>
      </c:barChart>
      <c:catAx>
        <c:axId val="6212243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1224751"/>
        <c:crosses val="autoZero"/>
        <c:auto val="1"/>
        <c:lblAlgn val="ctr"/>
        <c:lblOffset val="100"/>
        <c:noMultiLvlLbl val="0"/>
      </c:catAx>
      <c:valAx>
        <c:axId val="621224751"/>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122433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Predictability of travel times on priority routes for freight and tourism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'predictability priority routes'!$B$1</c:f>
              <c:strCache>
                <c:ptCount val="1"/>
                <c:pt idx="0">
                  <c:v>2019/20</c:v>
                </c:pt>
              </c:strCache>
            </c:strRef>
          </c:tx>
          <c:spPr>
            <a:ln w="28575" cap="rnd">
              <a:solidFill>
                <a:srgbClr val="00A9EF"/>
              </a:solidFill>
              <a:round/>
            </a:ln>
            <a:effectLst/>
          </c:spPr>
          <c:marker>
            <c:symbol val="none"/>
          </c:marker>
          <c:cat>
            <c:strRef>
              <c:f>'predictability priority routes'!$A$2:$A$13</c:f>
              <c:strCache>
                <c:ptCount val="12"/>
                <c:pt idx="0">
                  <c:v>July</c:v>
                </c:pt>
                <c:pt idx="1">
                  <c:v>August </c:v>
                </c:pt>
                <c:pt idx="2">
                  <c:v>September</c:v>
                </c:pt>
                <c:pt idx="3">
                  <c:v>October</c:v>
                </c:pt>
                <c:pt idx="4">
                  <c:v>November</c:v>
                </c:pt>
                <c:pt idx="5">
                  <c:v>December</c:v>
                </c:pt>
                <c:pt idx="6">
                  <c:v>January</c:v>
                </c:pt>
                <c:pt idx="7">
                  <c:v>February</c:v>
                </c:pt>
                <c:pt idx="8">
                  <c:v>March</c:v>
                </c:pt>
                <c:pt idx="9">
                  <c:v>April</c:v>
                </c:pt>
                <c:pt idx="10">
                  <c:v>May</c:v>
                </c:pt>
                <c:pt idx="11">
                  <c:v>June</c:v>
                </c:pt>
              </c:strCache>
            </c:strRef>
          </c:cat>
          <c:val>
            <c:numRef>
              <c:f>'predictability priority routes'!$B$2:$B$13</c:f>
              <c:numCache>
                <c:formatCode>0.00%</c:formatCode>
                <c:ptCount val="12"/>
                <c:pt idx="0">
                  <c:v>0.96899999999999997</c:v>
                </c:pt>
                <c:pt idx="1">
                  <c:v>0.97199999999999998</c:v>
                </c:pt>
                <c:pt idx="2">
                  <c:v>0.97</c:v>
                </c:pt>
                <c:pt idx="3">
                  <c:v>0.91500000000000004</c:v>
                </c:pt>
                <c:pt idx="4">
                  <c:v>0.81599999999999995</c:v>
                </c:pt>
                <c:pt idx="5">
                  <c:v>0.82099999999999995</c:v>
                </c:pt>
                <c:pt idx="6">
                  <c:v>0.89800000000000002</c:v>
                </c:pt>
                <c:pt idx="7">
                  <c:v>0.79900000000000004</c:v>
                </c:pt>
                <c:pt idx="8">
                  <c:v>0.872</c:v>
                </c:pt>
                <c:pt idx="9">
                  <c:v>0.95299999999999996</c:v>
                </c:pt>
                <c:pt idx="10">
                  <c:v>0.97</c:v>
                </c:pt>
                <c:pt idx="11">
                  <c:v>0.95299999999999996</c:v>
                </c:pt>
              </c:numCache>
            </c:numRef>
          </c:val>
          <c:smooth val="0"/>
          <c:extLst>
            <c:ext xmlns:c16="http://schemas.microsoft.com/office/drawing/2014/chart" uri="{C3380CC4-5D6E-409C-BE32-E72D297353CC}">
              <c16:uniqueId val="{00000000-0FC3-4B39-80FE-FD8095A67F4D}"/>
            </c:ext>
          </c:extLst>
        </c:ser>
        <c:dLbls>
          <c:showLegendKey val="0"/>
          <c:showVal val="0"/>
          <c:showCatName val="0"/>
          <c:showSerName val="0"/>
          <c:showPercent val="0"/>
          <c:showBubbleSize val="0"/>
        </c:dLbls>
        <c:smooth val="0"/>
        <c:axId val="757953503"/>
        <c:axId val="757951423"/>
      </c:lineChart>
      <c:catAx>
        <c:axId val="7579535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7951423"/>
        <c:crosses val="autoZero"/>
        <c:auto val="1"/>
        <c:lblAlgn val="ctr"/>
        <c:lblOffset val="100"/>
        <c:noMultiLvlLbl val="0"/>
      </c:catAx>
      <c:valAx>
        <c:axId val="757951423"/>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79535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sz="1400" b="0" i="0" baseline="0">
                <a:effectLst/>
              </a:rPr>
              <a:t>Key social and economic corridors (nationally) with viable alternative routes (km)</a:t>
            </a:r>
            <a:endParaRPr lang="en-NZ"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rgbClr val="00A9EF"/>
            </a:solidFill>
            <a:ln>
              <a:noFill/>
            </a:ln>
            <a:effectLst/>
          </c:spPr>
          <c:invertIfNegative val="0"/>
          <c:cat>
            <c:strRef>
              <c:f>Sheet1!$D$101</c:f>
              <c:strCache>
                <c:ptCount val="1"/>
                <c:pt idx="0">
                  <c:v>Length (km)</c:v>
                </c:pt>
              </c:strCache>
            </c:strRef>
          </c:cat>
          <c:val>
            <c:numRef>
              <c:f>Sheet1!$D$116</c:f>
              <c:numCache>
                <c:formatCode>#,##0.00</c:formatCode>
                <c:ptCount val="1"/>
                <c:pt idx="0">
                  <c:v>1563.7</c:v>
                </c:pt>
              </c:numCache>
            </c:numRef>
          </c:val>
          <c:extLst>
            <c:ext xmlns:c16="http://schemas.microsoft.com/office/drawing/2014/chart" uri="{C3380CC4-5D6E-409C-BE32-E72D297353CC}">
              <c16:uniqueId val="{00000000-5B68-438D-887C-B8639710176D}"/>
            </c:ext>
          </c:extLst>
        </c:ser>
        <c:dLbls>
          <c:showLegendKey val="0"/>
          <c:showVal val="0"/>
          <c:showCatName val="0"/>
          <c:showSerName val="0"/>
          <c:showPercent val="0"/>
          <c:showBubbleSize val="0"/>
        </c:dLbls>
        <c:gapWidth val="219"/>
        <c:overlap val="-27"/>
        <c:axId val="1709216671"/>
        <c:axId val="1709225407"/>
      </c:barChart>
      <c:catAx>
        <c:axId val="17092166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9225407"/>
        <c:crosses val="autoZero"/>
        <c:auto val="1"/>
        <c:lblAlgn val="ctr"/>
        <c:lblOffset val="100"/>
        <c:noMultiLvlLbl val="0"/>
      </c:catAx>
      <c:valAx>
        <c:axId val="170922540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92166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Greenhouse gas emissions from</a:t>
            </a:r>
            <a:r>
              <a:rPr lang="en-NZ" baseline="0"/>
              <a:t> land transport</a:t>
            </a:r>
            <a:endParaRPr lang="en-N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9096194766864062E-2"/>
          <c:y val="0.13754867420730577"/>
          <c:w val="0.88877768635553367"/>
          <c:h val="0.42143636180467242"/>
        </c:manualLayout>
      </c:layout>
      <c:barChart>
        <c:barDir val="col"/>
        <c:grouping val="clustered"/>
        <c:varyColors val="0"/>
        <c:ser>
          <c:idx val="0"/>
          <c:order val="0"/>
          <c:tx>
            <c:strRef>
              <c:f>Sheet1!$AL$41</c:f>
              <c:strCache>
                <c:ptCount val="1"/>
                <c:pt idx="0">
                  <c:v>2016</c:v>
                </c:pt>
              </c:strCache>
            </c:strRef>
          </c:tx>
          <c:spPr>
            <a:solidFill>
              <a:srgbClr val="00A9EF"/>
            </a:solidFill>
            <a:ln>
              <a:noFill/>
            </a:ln>
            <a:effectLst/>
          </c:spPr>
          <c:invertIfNegative val="0"/>
          <c:cat>
            <c:strRef>
              <c:f>Sheet1!$AK$42:$AK$55</c:f>
              <c:strCache>
                <c:ptCount val="14"/>
                <c:pt idx="0">
                  <c:v>Northland</c:v>
                </c:pt>
                <c:pt idx="1">
                  <c:v>Auckland</c:v>
                </c:pt>
                <c:pt idx="2">
                  <c:v>Waikato</c:v>
                </c:pt>
                <c:pt idx="3">
                  <c:v>Bay of Plenty</c:v>
                </c:pt>
                <c:pt idx="4">
                  <c:v>Gisborne</c:v>
                </c:pt>
                <c:pt idx="5">
                  <c:v>Hawke’s Bay</c:v>
                </c:pt>
                <c:pt idx="6">
                  <c:v>Taranaki</c:v>
                </c:pt>
                <c:pt idx="7">
                  <c:v>Manawatu-Whanganui</c:v>
                </c:pt>
                <c:pt idx="8">
                  <c:v>Wellington</c:v>
                </c:pt>
                <c:pt idx="9">
                  <c:v>Marlborough-Nelson-Tasman</c:v>
                </c:pt>
                <c:pt idx="10">
                  <c:v>West Coast</c:v>
                </c:pt>
                <c:pt idx="11">
                  <c:v>Canterbury</c:v>
                </c:pt>
                <c:pt idx="12">
                  <c:v>Otago</c:v>
                </c:pt>
                <c:pt idx="13">
                  <c:v>Southland</c:v>
                </c:pt>
              </c:strCache>
            </c:strRef>
          </c:cat>
          <c:val>
            <c:numRef>
              <c:f>Sheet1!$AL$42:$AL$55</c:f>
              <c:numCache>
                <c:formatCode>#,##0</c:formatCode>
                <c:ptCount val="14"/>
                <c:pt idx="0" formatCode="General">
                  <c:v>454</c:v>
                </c:pt>
                <c:pt idx="1">
                  <c:v>2980</c:v>
                </c:pt>
                <c:pt idx="2">
                  <c:v>1583</c:v>
                </c:pt>
                <c:pt idx="3" formatCode="General">
                  <c:v>674</c:v>
                </c:pt>
                <c:pt idx="4" formatCode="General">
                  <c:v>108</c:v>
                </c:pt>
                <c:pt idx="5" formatCode="General">
                  <c:v>389</c:v>
                </c:pt>
                <c:pt idx="6" formatCode="General">
                  <c:v>279</c:v>
                </c:pt>
                <c:pt idx="7" formatCode="General">
                  <c:v>631</c:v>
                </c:pt>
                <c:pt idx="8" formatCode="General">
                  <c:v>813</c:v>
                </c:pt>
                <c:pt idx="9" formatCode="General">
                  <c:v>351</c:v>
                </c:pt>
                <c:pt idx="10" formatCode="General">
                  <c:v>145</c:v>
                </c:pt>
                <c:pt idx="11">
                  <c:v>1525</c:v>
                </c:pt>
                <c:pt idx="12" formatCode="General">
                  <c:v>576</c:v>
                </c:pt>
                <c:pt idx="13" formatCode="General">
                  <c:v>306</c:v>
                </c:pt>
              </c:numCache>
            </c:numRef>
          </c:val>
          <c:extLst>
            <c:ext xmlns:c16="http://schemas.microsoft.com/office/drawing/2014/chart" uri="{C3380CC4-5D6E-409C-BE32-E72D297353CC}">
              <c16:uniqueId val="{00000000-D29A-4885-956B-60ADF8B9C131}"/>
            </c:ext>
          </c:extLst>
        </c:ser>
        <c:ser>
          <c:idx val="1"/>
          <c:order val="1"/>
          <c:tx>
            <c:strRef>
              <c:f>Sheet1!$AM$41</c:f>
              <c:strCache>
                <c:ptCount val="1"/>
                <c:pt idx="0">
                  <c:v>2017</c:v>
                </c:pt>
              </c:strCache>
            </c:strRef>
          </c:tx>
          <c:spPr>
            <a:solidFill>
              <a:srgbClr val="00938C"/>
            </a:solidFill>
            <a:ln>
              <a:noFill/>
            </a:ln>
            <a:effectLst/>
          </c:spPr>
          <c:invertIfNegative val="0"/>
          <c:cat>
            <c:strRef>
              <c:f>Sheet1!$AK$42:$AK$55</c:f>
              <c:strCache>
                <c:ptCount val="14"/>
                <c:pt idx="0">
                  <c:v>Northland</c:v>
                </c:pt>
                <c:pt idx="1">
                  <c:v>Auckland</c:v>
                </c:pt>
                <c:pt idx="2">
                  <c:v>Waikato</c:v>
                </c:pt>
                <c:pt idx="3">
                  <c:v>Bay of Plenty</c:v>
                </c:pt>
                <c:pt idx="4">
                  <c:v>Gisborne</c:v>
                </c:pt>
                <c:pt idx="5">
                  <c:v>Hawke’s Bay</c:v>
                </c:pt>
                <c:pt idx="6">
                  <c:v>Taranaki</c:v>
                </c:pt>
                <c:pt idx="7">
                  <c:v>Manawatu-Whanganui</c:v>
                </c:pt>
                <c:pt idx="8">
                  <c:v>Wellington</c:v>
                </c:pt>
                <c:pt idx="9">
                  <c:v>Marlborough-Nelson-Tasman</c:v>
                </c:pt>
                <c:pt idx="10">
                  <c:v>West Coast</c:v>
                </c:pt>
                <c:pt idx="11">
                  <c:v>Canterbury</c:v>
                </c:pt>
                <c:pt idx="12">
                  <c:v>Otago</c:v>
                </c:pt>
                <c:pt idx="13">
                  <c:v>Southland</c:v>
                </c:pt>
              </c:strCache>
            </c:strRef>
          </c:cat>
          <c:val>
            <c:numRef>
              <c:f>Sheet1!$AM$42:$AM$55</c:f>
              <c:numCache>
                <c:formatCode>#,##0</c:formatCode>
                <c:ptCount val="14"/>
                <c:pt idx="0" formatCode="General">
                  <c:v>450</c:v>
                </c:pt>
                <c:pt idx="1">
                  <c:v>2964</c:v>
                </c:pt>
                <c:pt idx="2">
                  <c:v>1563</c:v>
                </c:pt>
                <c:pt idx="3" formatCode="General">
                  <c:v>696</c:v>
                </c:pt>
                <c:pt idx="4" formatCode="General">
                  <c:v>107</c:v>
                </c:pt>
                <c:pt idx="5" formatCode="General">
                  <c:v>386</c:v>
                </c:pt>
                <c:pt idx="6" formatCode="General">
                  <c:v>277</c:v>
                </c:pt>
                <c:pt idx="7" formatCode="General">
                  <c:v>626</c:v>
                </c:pt>
                <c:pt idx="8" formatCode="General">
                  <c:v>872</c:v>
                </c:pt>
                <c:pt idx="9" formatCode="General">
                  <c:v>352</c:v>
                </c:pt>
                <c:pt idx="10" formatCode="General">
                  <c:v>144</c:v>
                </c:pt>
                <c:pt idx="11">
                  <c:v>1501</c:v>
                </c:pt>
                <c:pt idx="12" formatCode="General">
                  <c:v>591</c:v>
                </c:pt>
                <c:pt idx="13" formatCode="General">
                  <c:v>307</c:v>
                </c:pt>
              </c:numCache>
            </c:numRef>
          </c:val>
          <c:extLst>
            <c:ext xmlns:c16="http://schemas.microsoft.com/office/drawing/2014/chart" uri="{C3380CC4-5D6E-409C-BE32-E72D297353CC}">
              <c16:uniqueId val="{00000001-D29A-4885-956B-60ADF8B9C131}"/>
            </c:ext>
          </c:extLst>
        </c:ser>
        <c:ser>
          <c:idx val="2"/>
          <c:order val="2"/>
          <c:tx>
            <c:strRef>
              <c:f>Sheet1!$AN$41</c:f>
              <c:strCache>
                <c:ptCount val="1"/>
                <c:pt idx="0">
                  <c:v>2018</c:v>
                </c:pt>
              </c:strCache>
            </c:strRef>
          </c:tx>
          <c:spPr>
            <a:solidFill>
              <a:srgbClr val="3BA933"/>
            </a:solidFill>
            <a:ln>
              <a:noFill/>
            </a:ln>
            <a:effectLst/>
          </c:spPr>
          <c:invertIfNegative val="0"/>
          <c:cat>
            <c:strRef>
              <c:f>Sheet1!$AK$42:$AK$55</c:f>
              <c:strCache>
                <c:ptCount val="14"/>
                <c:pt idx="0">
                  <c:v>Northland</c:v>
                </c:pt>
                <c:pt idx="1">
                  <c:v>Auckland</c:v>
                </c:pt>
                <c:pt idx="2">
                  <c:v>Waikato</c:v>
                </c:pt>
                <c:pt idx="3">
                  <c:v>Bay of Plenty</c:v>
                </c:pt>
                <c:pt idx="4">
                  <c:v>Gisborne</c:v>
                </c:pt>
                <c:pt idx="5">
                  <c:v>Hawke’s Bay</c:v>
                </c:pt>
                <c:pt idx="6">
                  <c:v>Taranaki</c:v>
                </c:pt>
                <c:pt idx="7">
                  <c:v>Manawatu-Whanganui</c:v>
                </c:pt>
                <c:pt idx="8">
                  <c:v>Wellington</c:v>
                </c:pt>
                <c:pt idx="9">
                  <c:v>Marlborough-Nelson-Tasman</c:v>
                </c:pt>
                <c:pt idx="10">
                  <c:v>West Coast</c:v>
                </c:pt>
                <c:pt idx="11">
                  <c:v>Canterbury</c:v>
                </c:pt>
                <c:pt idx="12">
                  <c:v>Otago</c:v>
                </c:pt>
                <c:pt idx="13">
                  <c:v>Southland</c:v>
                </c:pt>
              </c:strCache>
            </c:strRef>
          </c:cat>
          <c:val>
            <c:numRef>
              <c:f>Sheet1!$AN$42:$AN$55</c:f>
              <c:numCache>
                <c:formatCode>#,##0</c:formatCode>
                <c:ptCount val="14"/>
                <c:pt idx="0" formatCode="General">
                  <c:v>507</c:v>
                </c:pt>
                <c:pt idx="1">
                  <c:v>3207</c:v>
                </c:pt>
                <c:pt idx="2">
                  <c:v>1646</c:v>
                </c:pt>
                <c:pt idx="3" formatCode="General">
                  <c:v>791</c:v>
                </c:pt>
                <c:pt idx="4" formatCode="General">
                  <c:v>108</c:v>
                </c:pt>
                <c:pt idx="5" formatCode="General">
                  <c:v>418</c:v>
                </c:pt>
                <c:pt idx="6" formatCode="General">
                  <c:v>287</c:v>
                </c:pt>
                <c:pt idx="7" formatCode="General">
                  <c:v>689</c:v>
                </c:pt>
                <c:pt idx="8" formatCode="General">
                  <c:v>899</c:v>
                </c:pt>
                <c:pt idx="9" formatCode="General">
                  <c:v>417</c:v>
                </c:pt>
                <c:pt idx="10" formatCode="General">
                  <c:v>157</c:v>
                </c:pt>
                <c:pt idx="11">
                  <c:v>1623</c:v>
                </c:pt>
                <c:pt idx="12" formatCode="General">
                  <c:v>638</c:v>
                </c:pt>
                <c:pt idx="13" formatCode="General">
                  <c:v>331</c:v>
                </c:pt>
              </c:numCache>
            </c:numRef>
          </c:val>
          <c:extLst>
            <c:ext xmlns:c16="http://schemas.microsoft.com/office/drawing/2014/chart" uri="{C3380CC4-5D6E-409C-BE32-E72D297353CC}">
              <c16:uniqueId val="{00000002-D29A-4885-956B-60ADF8B9C131}"/>
            </c:ext>
          </c:extLst>
        </c:ser>
        <c:ser>
          <c:idx val="3"/>
          <c:order val="3"/>
          <c:tx>
            <c:strRef>
              <c:f>Sheet1!$AO$41</c:f>
              <c:strCache>
                <c:ptCount val="1"/>
                <c:pt idx="0">
                  <c:v>2019</c:v>
                </c:pt>
              </c:strCache>
            </c:strRef>
          </c:tx>
          <c:spPr>
            <a:solidFill>
              <a:srgbClr val="B4D012"/>
            </a:solidFill>
            <a:ln>
              <a:noFill/>
            </a:ln>
            <a:effectLst/>
          </c:spPr>
          <c:invertIfNegative val="0"/>
          <c:cat>
            <c:strRef>
              <c:f>Sheet1!$AK$42:$AK$55</c:f>
              <c:strCache>
                <c:ptCount val="14"/>
                <c:pt idx="0">
                  <c:v>Northland</c:v>
                </c:pt>
                <c:pt idx="1">
                  <c:v>Auckland</c:v>
                </c:pt>
                <c:pt idx="2">
                  <c:v>Waikato</c:v>
                </c:pt>
                <c:pt idx="3">
                  <c:v>Bay of Plenty</c:v>
                </c:pt>
                <c:pt idx="4">
                  <c:v>Gisborne</c:v>
                </c:pt>
                <c:pt idx="5">
                  <c:v>Hawke’s Bay</c:v>
                </c:pt>
                <c:pt idx="6">
                  <c:v>Taranaki</c:v>
                </c:pt>
                <c:pt idx="7">
                  <c:v>Manawatu-Whanganui</c:v>
                </c:pt>
                <c:pt idx="8">
                  <c:v>Wellington</c:v>
                </c:pt>
                <c:pt idx="9">
                  <c:v>Marlborough-Nelson-Tasman</c:v>
                </c:pt>
                <c:pt idx="10">
                  <c:v>West Coast</c:v>
                </c:pt>
                <c:pt idx="11">
                  <c:v>Canterbury</c:v>
                </c:pt>
                <c:pt idx="12">
                  <c:v>Otago</c:v>
                </c:pt>
                <c:pt idx="13">
                  <c:v>Southland</c:v>
                </c:pt>
              </c:strCache>
            </c:strRef>
          </c:cat>
          <c:val>
            <c:numRef>
              <c:f>Sheet1!$AO$42:$AO$55</c:f>
              <c:numCache>
                <c:formatCode>#,##0</c:formatCode>
                <c:ptCount val="14"/>
                <c:pt idx="0" formatCode="General">
                  <c:v>520</c:v>
                </c:pt>
                <c:pt idx="1">
                  <c:v>3210</c:v>
                </c:pt>
                <c:pt idx="2">
                  <c:v>1682</c:v>
                </c:pt>
                <c:pt idx="3" formatCode="General">
                  <c:v>796</c:v>
                </c:pt>
                <c:pt idx="4" formatCode="General">
                  <c:v>110</c:v>
                </c:pt>
                <c:pt idx="5" formatCode="General">
                  <c:v>425</c:v>
                </c:pt>
                <c:pt idx="6" formatCode="General">
                  <c:v>284</c:v>
                </c:pt>
                <c:pt idx="7" formatCode="General">
                  <c:v>693</c:v>
                </c:pt>
                <c:pt idx="8" formatCode="General">
                  <c:v>910</c:v>
                </c:pt>
                <c:pt idx="9" formatCode="General">
                  <c:v>402</c:v>
                </c:pt>
                <c:pt idx="10" formatCode="General">
                  <c:v>150</c:v>
                </c:pt>
                <c:pt idx="11">
                  <c:v>1647</c:v>
                </c:pt>
                <c:pt idx="12" formatCode="General">
                  <c:v>666</c:v>
                </c:pt>
                <c:pt idx="13" formatCode="General">
                  <c:v>336</c:v>
                </c:pt>
              </c:numCache>
            </c:numRef>
          </c:val>
          <c:extLst>
            <c:ext xmlns:c16="http://schemas.microsoft.com/office/drawing/2014/chart" uri="{C3380CC4-5D6E-409C-BE32-E72D297353CC}">
              <c16:uniqueId val="{00000003-D29A-4885-956B-60ADF8B9C131}"/>
            </c:ext>
          </c:extLst>
        </c:ser>
        <c:dLbls>
          <c:showLegendKey val="0"/>
          <c:showVal val="0"/>
          <c:showCatName val="0"/>
          <c:showSerName val="0"/>
          <c:showPercent val="0"/>
          <c:showBubbleSize val="0"/>
        </c:dLbls>
        <c:gapWidth val="219"/>
        <c:overlap val="-27"/>
        <c:axId val="2082809295"/>
        <c:axId val="2082827183"/>
      </c:barChart>
      <c:catAx>
        <c:axId val="20828092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2827183"/>
        <c:crosses val="autoZero"/>
        <c:auto val="1"/>
        <c:lblAlgn val="ctr"/>
        <c:lblOffset val="100"/>
        <c:noMultiLvlLbl val="0"/>
      </c:catAx>
      <c:valAx>
        <c:axId val="208282718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CO2</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28092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Greenhouse</a:t>
            </a:r>
            <a:r>
              <a:rPr lang="en-NZ" baseline="0"/>
              <a:t> gas emissions from land transport (national total)</a:t>
            </a:r>
            <a:endParaRPr lang="en-N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00A9EF"/>
              </a:solidFill>
              <a:ln>
                <a:noFill/>
              </a:ln>
              <a:effectLst/>
            </c:spPr>
            <c:extLst>
              <c:ext xmlns:c16="http://schemas.microsoft.com/office/drawing/2014/chart" uri="{C3380CC4-5D6E-409C-BE32-E72D297353CC}">
                <c16:uniqueId val="{00000001-D05A-4345-A420-F47C5554F085}"/>
              </c:ext>
            </c:extLst>
          </c:dPt>
          <c:dPt>
            <c:idx val="1"/>
            <c:invertIfNegative val="0"/>
            <c:bubble3D val="0"/>
            <c:spPr>
              <a:solidFill>
                <a:srgbClr val="00938C"/>
              </a:solidFill>
              <a:ln>
                <a:noFill/>
              </a:ln>
              <a:effectLst/>
            </c:spPr>
            <c:extLst>
              <c:ext xmlns:c16="http://schemas.microsoft.com/office/drawing/2014/chart" uri="{C3380CC4-5D6E-409C-BE32-E72D297353CC}">
                <c16:uniqueId val="{00000003-D05A-4345-A420-F47C5554F085}"/>
              </c:ext>
            </c:extLst>
          </c:dPt>
          <c:dPt>
            <c:idx val="2"/>
            <c:invertIfNegative val="0"/>
            <c:bubble3D val="0"/>
            <c:spPr>
              <a:solidFill>
                <a:srgbClr val="3BA933"/>
              </a:solidFill>
              <a:ln>
                <a:noFill/>
              </a:ln>
              <a:effectLst/>
            </c:spPr>
            <c:extLst>
              <c:ext xmlns:c16="http://schemas.microsoft.com/office/drawing/2014/chart" uri="{C3380CC4-5D6E-409C-BE32-E72D297353CC}">
                <c16:uniqueId val="{00000005-D05A-4345-A420-F47C5554F085}"/>
              </c:ext>
            </c:extLst>
          </c:dPt>
          <c:dPt>
            <c:idx val="3"/>
            <c:invertIfNegative val="0"/>
            <c:bubble3D val="0"/>
            <c:spPr>
              <a:solidFill>
                <a:srgbClr val="B4D012"/>
              </a:solidFill>
              <a:ln>
                <a:noFill/>
              </a:ln>
              <a:effectLst/>
            </c:spPr>
            <c:extLst>
              <c:ext xmlns:c16="http://schemas.microsoft.com/office/drawing/2014/chart" uri="{C3380CC4-5D6E-409C-BE32-E72D297353CC}">
                <c16:uniqueId val="{00000007-D05A-4345-A420-F47C5554F085}"/>
              </c:ext>
            </c:extLst>
          </c:dPt>
          <c:cat>
            <c:numRef>
              <c:f>Sheet1!$AL$41:$AO$41</c:f>
              <c:numCache>
                <c:formatCode>General</c:formatCode>
                <c:ptCount val="4"/>
                <c:pt idx="0">
                  <c:v>2016</c:v>
                </c:pt>
                <c:pt idx="1">
                  <c:v>2017</c:v>
                </c:pt>
                <c:pt idx="2">
                  <c:v>2018</c:v>
                </c:pt>
                <c:pt idx="3">
                  <c:v>2019</c:v>
                </c:pt>
              </c:numCache>
            </c:numRef>
          </c:cat>
          <c:val>
            <c:numRef>
              <c:f>Sheet1!$AL$56:$AO$56</c:f>
              <c:numCache>
                <c:formatCode>#,##0</c:formatCode>
                <c:ptCount val="4"/>
                <c:pt idx="0">
                  <c:v>10813</c:v>
                </c:pt>
                <c:pt idx="1">
                  <c:v>10834</c:v>
                </c:pt>
                <c:pt idx="2">
                  <c:v>11717</c:v>
                </c:pt>
                <c:pt idx="3">
                  <c:v>11832</c:v>
                </c:pt>
              </c:numCache>
            </c:numRef>
          </c:val>
          <c:extLst>
            <c:ext xmlns:c16="http://schemas.microsoft.com/office/drawing/2014/chart" uri="{C3380CC4-5D6E-409C-BE32-E72D297353CC}">
              <c16:uniqueId val="{00000008-D05A-4345-A420-F47C5554F085}"/>
            </c:ext>
          </c:extLst>
        </c:ser>
        <c:dLbls>
          <c:showLegendKey val="0"/>
          <c:showVal val="0"/>
          <c:showCatName val="0"/>
          <c:showSerName val="0"/>
          <c:showPercent val="0"/>
          <c:showBubbleSize val="0"/>
        </c:dLbls>
        <c:gapWidth val="219"/>
        <c:overlap val="-27"/>
        <c:axId val="2082829263"/>
        <c:axId val="2082831343"/>
      </c:barChart>
      <c:catAx>
        <c:axId val="2082829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2831343"/>
        <c:crosses val="autoZero"/>
        <c:auto val="1"/>
        <c:lblAlgn val="ctr"/>
        <c:lblOffset val="100"/>
        <c:noMultiLvlLbl val="0"/>
      </c:catAx>
      <c:valAx>
        <c:axId val="20828313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CO2</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2829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Number of people exposed to elevated levels of</a:t>
            </a:r>
            <a:r>
              <a:rPr lang="en-US" baseline="0"/>
              <a:t> land transport noise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1098749720819439E-2"/>
          <c:y val="0.16245370370370371"/>
          <c:w val="0.86702042027727688"/>
          <c:h val="0.46208843686205892"/>
        </c:manualLayout>
      </c:layout>
      <c:barChart>
        <c:barDir val="col"/>
        <c:grouping val="clustered"/>
        <c:varyColors val="0"/>
        <c:ser>
          <c:idx val="0"/>
          <c:order val="0"/>
          <c:tx>
            <c:strRef>
              <c:f>Sheet1!$AX$28</c:f>
              <c:strCache>
                <c:ptCount val="1"/>
                <c:pt idx="0">
                  <c:v>2017</c:v>
                </c:pt>
              </c:strCache>
            </c:strRef>
          </c:tx>
          <c:spPr>
            <a:solidFill>
              <a:srgbClr val="00A9EF"/>
            </a:solidFill>
            <a:ln>
              <a:noFill/>
            </a:ln>
            <a:effectLst/>
          </c:spPr>
          <c:invertIfNegative val="0"/>
          <c:cat>
            <c:strRef>
              <c:f>Sheet1!$AW$29:$AW$42</c:f>
              <c:strCache>
                <c:ptCount val="14"/>
                <c:pt idx="0">
                  <c:v>Northland</c:v>
                </c:pt>
                <c:pt idx="1">
                  <c:v>Auckland</c:v>
                </c:pt>
                <c:pt idx="2">
                  <c:v>Waikato</c:v>
                </c:pt>
                <c:pt idx="3">
                  <c:v>Bay of Plenty</c:v>
                </c:pt>
                <c:pt idx="4">
                  <c:v>Gisborne</c:v>
                </c:pt>
                <c:pt idx="5">
                  <c:v>Hawke’s Bay</c:v>
                </c:pt>
                <c:pt idx="6">
                  <c:v>Taranaki</c:v>
                </c:pt>
                <c:pt idx="7">
                  <c:v>Manawatu-Whanganui</c:v>
                </c:pt>
                <c:pt idx="8">
                  <c:v>Wellington</c:v>
                </c:pt>
                <c:pt idx="9">
                  <c:v>Marlborough-Nelson-Tasman</c:v>
                </c:pt>
                <c:pt idx="10">
                  <c:v>West Coast</c:v>
                </c:pt>
                <c:pt idx="11">
                  <c:v>Canterbury</c:v>
                </c:pt>
                <c:pt idx="12">
                  <c:v>Otago</c:v>
                </c:pt>
                <c:pt idx="13">
                  <c:v>Southland</c:v>
                </c:pt>
              </c:strCache>
            </c:strRef>
          </c:cat>
          <c:val>
            <c:numRef>
              <c:f>Sheet1!$AX$29:$AX$42</c:f>
              <c:numCache>
                <c:formatCode>#,##0</c:formatCode>
                <c:ptCount val="14"/>
                <c:pt idx="0" formatCode="General">
                  <c:v>869</c:v>
                </c:pt>
                <c:pt idx="1">
                  <c:v>11250</c:v>
                </c:pt>
                <c:pt idx="2">
                  <c:v>3032</c:v>
                </c:pt>
                <c:pt idx="3">
                  <c:v>1345</c:v>
                </c:pt>
                <c:pt idx="4" formatCode="General">
                  <c:v>22</c:v>
                </c:pt>
                <c:pt idx="5">
                  <c:v>1056</c:v>
                </c:pt>
                <c:pt idx="6" formatCode="General">
                  <c:v>472</c:v>
                </c:pt>
                <c:pt idx="7">
                  <c:v>1352</c:v>
                </c:pt>
                <c:pt idx="8">
                  <c:v>10490</c:v>
                </c:pt>
                <c:pt idx="9">
                  <c:v>1768</c:v>
                </c:pt>
                <c:pt idx="10" formatCode="General">
                  <c:v>99</c:v>
                </c:pt>
                <c:pt idx="11">
                  <c:v>4189</c:v>
                </c:pt>
                <c:pt idx="12">
                  <c:v>1151</c:v>
                </c:pt>
                <c:pt idx="13" formatCode="General">
                  <c:v>787</c:v>
                </c:pt>
              </c:numCache>
            </c:numRef>
          </c:val>
          <c:extLst>
            <c:ext xmlns:c16="http://schemas.microsoft.com/office/drawing/2014/chart" uri="{C3380CC4-5D6E-409C-BE32-E72D297353CC}">
              <c16:uniqueId val="{00000000-398A-4C2F-8C86-59B87CEE98E0}"/>
            </c:ext>
          </c:extLst>
        </c:ser>
        <c:dLbls>
          <c:showLegendKey val="0"/>
          <c:showVal val="0"/>
          <c:showCatName val="0"/>
          <c:showSerName val="0"/>
          <c:showPercent val="0"/>
          <c:showBubbleSize val="0"/>
        </c:dLbls>
        <c:gapWidth val="219"/>
        <c:overlap val="-27"/>
        <c:axId val="1449748543"/>
        <c:axId val="1449744799"/>
      </c:barChart>
      <c:catAx>
        <c:axId val="144974854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2017</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49744799"/>
        <c:crosses val="autoZero"/>
        <c:auto val="1"/>
        <c:lblAlgn val="ctr"/>
        <c:lblOffset val="100"/>
        <c:noMultiLvlLbl val="0"/>
      </c:catAx>
      <c:valAx>
        <c:axId val="144974479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974854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sz="1200"/>
              <a:t>Length of the state highway network with speed limit changes to align with safe and</a:t>
            </a:r>
            <a:r>
              <a:rPr lang="en-NZ" sz="1200" baseline="0"/>
              <a:t> appropriate speed </a:t>
            </a:r>
            <a:endParaRPr lang="en-NZ" sz="1200"/>
          </a:p>
        </c:rich>
      </c:tx>
      <c:layout>
        <c:manualLayout>
          <c:xMode val="edge"/>
          <c:yMode val="edge"/>
          <c:x val="0.13217344706911635"/>
          <c:y val="3.70370370370370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Sheet1!$AN$22</c:f>
              <c:strCache>
                <c:ptCount val="1"/>
                <c:pt idx="0">
                  <c:v>Km</c:v>
                </c:pt>
              </c:strCache>
            </c:strRef>
          </c:tx>
          <c:spPr>
            <a:solidFill>
              <a:srgbClr val="00A9EF"/>
            </a:solidFill>
            <a:ln>
              <a:noFill/>
            </a:ln>
            <a:effectLst/>
          </c:spPr>
          <c:invertIfNegative val="0"/>
          <c:dPt>
            <c:idx val="1"/>
            <c:invertIfNegative val="0"/>
            <c:bubble3D val="0"/>
            <c:spPr>
              <a:solidFill>
                <a:srgbClr val="3BA933"/>
              </a:solidFill>
              <a:ln>
                <a:noFill/>
              </a:ln>
              <a:effectLst/>
            </c:spPr>
            <c:extLst>
              <c:ext xmlns:c16="http://schemas.microsoft.com/office/drawing/2014/chart" uri="{C3380CC4-5D6E-409C-BE32-E72D297353CC}">
                <c16:uniqueId val="{00000001-CED2-4FF2-B262-1B2D2B80A052}"/>
              </c:ext>
            </c:extLst>
          </c:dPt>
          <c:cat>
            <c:numRef>
              <c:f>Sheet1!$AM$23:$AM$24</c:f>
              <c:numCache>
                <c:formatCode>General</c:formatCode>
                <c:ptCount val="2"/>
                <c:pt idx="0">
                  <c:v>2018</c:v>
                </c:pt>
                <c:pt idx="1">
                  <c:v>2019</c:v>
                </c:pt>
              </c:numCache>
            </c:numRef>
          </c:cat>
          <c:val>
            <c:numRef>
              <c:f>Sheet1!$AN$23:$AN$24</c:f>
              <c:numCache>
                <c:formatCode>General</c:formatCode>
                <c:ptCount val="2"/>
                <c:pt idx="0">
                  <c:v>68.5</c:v>
                </c:pt>
                <c:pt idx="1">
                  <c:v>50.5</c:v>
                </c:pt>
              </c:numCache>
            </c:numRef>
          </c:val>
          <c:extLst>
            <c:ext xmlns:c16="http://schemas.microsoft.com/office/drawing/2014/chart" uri="{C3380CC4-5D6E-409C-BE32-E72D297353CC}">
              <c16:uniqueId val="{00000002-CED2-4FF2-B262-1B2D2B80A052}"/>
            </c:ext>
          </c:extLst>
        </c:ser>
        <c:dLbls>
          <c:showLegendKey val="0"/>
          <c:showVal val="0"/>
          <c:showCatName val="0"/>
          <c:showSerName val="0"/>
          <c:showPercent val="0"/>
          <c:showBubbleSize val="0"/>
        </c:dLbls>
        <c:gapWidth val="219"/>
        <c:overlap val="-27"/>
        <c:axId val="1520483551"/>
        <c:axId val="1520484383"/>
      </c:barChart>
      <c:catAx>
        <c:axId val="152048355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0484383"/>
        <c:crosses val="autoZero"/>
        <c:auto val="1"/>
        <c:lblAlgn val="ctr"/>
        <c:lblOffset val="100"/>
        <c:noMultiLvlLbl val="0"/>
      </c:catAx>
      <c:valAx>
        <c:axId val="152048438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Km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048355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Number of dedicated road policing staff</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Sheet1!$A$2</c:f>
              <c:strCache>
                <c:ptCount val="1"/>
                <c:pt idx="0">
                  <c:v>Number of dedicated road policing staff </c:v>
                </c:pt>
              </c:strCache>
            </c:strRef>
          </c:tx>
          <c:spPr>
            <a:solidFill>
              <a:schemeClr val="accent1"/>
            </a:solidFill>
            <a:ln>
              <a:noFill/>
            </a:ln>
            <a:effectLst/>
          </c:spPr>
          <c:invertIfNegative val="0"/>
          <c:dPt>
            <c:idx val="0"/>
            <c:invertIfNegative val="0"/>
            <c:bubble3D val="0"/>
            <c:spPr>
              <a:solidFill>
                <a:srgbClr val="00A9EF"/>
              </a:solidFill>
              <a:ln>
                <a:noFill/>
              </a:ln>
              <a:effectLst/>
            </c:spPr>
            <c:extLst>
              <c:ext xmlns:c16="http://schemas.microsoft.com/office/drawing/2014/chart" uri="{C3380CC4-5D6E-409C-BE32-E72D297353CC}">
                <c16:uniqueId val="{00000001-57B5-4D19-B52E-F3DEDCA956A7}"/>
              </c:ext>
            </c:extLst>
          </c:dPt>
          <c:dPt>
            <c:idx val="1"/>
            <c:invertIfNegative val="0"/>
            <c:bubble3D val="0"/>
            <c:spPr>
              <a:solidFill>
                <a:srgbClr val="00938C"/>
              </a:solidFill>
              <a:ln>
                <a:noFill/>
              </a:ln>
              <a:effectLst/>
            </c:spPr>
            <c:extLst>
              <c:ext xmlns:c16="http://schemas.microsoft.com/office/drawing/2014/chart" uri="{C3380CC4-5D6E-409C-BE32-E72D297353CC}">
                <c16:uniqueId val="{00000003-57B5-4D19-B52E-F3DEDCA956A7}"/>
              </c:ext>
            </c:extLst>
          </c:dPt>
          <c:dPt>
            <c:idx val="2"/>
            <c:invertIfNegative val="0"/>
            <c:bubble3D val="0"/>
            <c:spPr>
              <a:solidFill>
                <a:srgbClr val="3BA933"/>
              </a:solidFill>
              <a:ln>
                <a:noFill/>
              </a:ln>
              <a:effectLst/>
            </c:spPr>
            <c:extLst>
              <c:ext xmlns:c16="http://schemas.microsoft.com/office/drawing/2014/chart" uri="{C3380CC4-5D6E-409C-BE32-E72D297353CC}">
                <c16:uniqueId val="{00000005-57B5-4D19-B52E-F3DEDCA956A7}"/>
              </c:ext>
            </c:extLst>
          </c:dPt>
          <c:dPt>
            <c:idx val="3"/>
            <c:invertIfNegative val="0"/>
            <c:bubble3D val="0"/>
            <c:spPr>
              <a:solidFill>
                <a:srgbClr val="B4D012"/>
              </a:solidFill>
              <a:ln>
                <a:noFill/>
              </a:ln>
              <a:effectLst/>
            </c:spPr>
            <c:extLst>
              <c:ext xmlns:c16="http://schemas.microsoft.com/office/drawing/2014/chart" uri="{C3380CC4-5D6E-409C-BE32-E72D297353CC}">
                <c16:uniqueId val="{00000007-57B5-4D19-B52E-F3DEDCA956A7}"/>
              </c:ext>
            </c:extLst>
          </c:dPt>
          <c:dPt>
            <c:idx val="4"/>
            <c:invertIfNegative val="0"/>
            <c:bubble3D val="0"/>
            <c:spPr>
              <a:solidFill>
                <a:srgbClr val="F69E00"/>
              </a:solidFill>
              <a:ln>
                <a:noFill/>
              </a:ln>
              <a:effectLst/>
            </c:spPr>
            <c:extLst>
              <c:ext xmlns:c16="http://schemas.microsoft.com/office/drawing/2014/chart" uri="{C3380CC4-5D6E-409C-BE32-E72D297353CC}">
                <c16:uniqueId val="{00000009-57B5-4D19-B52E-F3DEDCA956A7}"/>
              </c:ext>
            </c:extLst>
          </c:dPt>
          <c:cat>
            <c:strRef>
              <c:f>Sheet1!$B$1:$F$1</c:f>
              <c:strCache>
                <c:ptCount val="5"/>
                <c:pt idx="0">
                  <c:v>2015/16</c:v>
                </c:pt>
                <c:pt idx="1">
                  <c:v>2016/17</c:v>
                </c:pt>
                <c:pt idx="2">
                  <c:v>2017/18</c:v>
                </c:pt>
                <c:pt idx="3">
                  <c:v>2018/19</c:v>
                </c:pt>
                <c:pt idx="4">
                  <c:v>2019/20</c:v>
                </c:pt>
              </c:strCache>
            </c:strRef>
          </c:cat>
          <c:val>
            <c:numRef>
              <c:f>Sheet1!$B$2:$F$2</c:f>
              <c:numCache>
                <c:formatCode>General</c:formatCode>
                <c:ptCount val="5"/>
                <c:pt idx="0">
                  <c:v>1056</c:v>
                </c:pt>
                <c:pt idx="1">
                  <c:v>958</c:v>
                </c:pt>
                <c:pt idx="2">
                  <c:v>1036</c:v>
                </c:pt>
                <c:pt idx="3">
                  <c:v>1062</c:v>
                </c:pt>
                <c:pt idx="4">
                  <c:v>1067</c:v>
                </c:pt>
              </c:numCache>
            </c:numRef>
          </c:val>
          <c:extLst>
            <c:ext xmlns:c16="http://schemas.microsoft.com/office/drawing/2014/chart" uri="{C3380CC4-5D6E-409C-BE32-E72D297353CC}">
              <c16:uniqueId val="{0000000A-57B5-4D19-B52E-F3DEDCA956A7}"/>
            </c:ext>
          </c:extLst>
        </c:ser>
        <c:dLbls>
          <c:showLegendKey val="0"/>
          <c:showVal val="0"/>
          <c:showCatName val="0"/>
          <c:showSerName val="0"/>
          <c:showPercent val="0"/>
          <c:showBubbleSize val="0"/>
        </c:dLbls>
        <c:gapWidth val="219"/>
        <c:overlap val="-27"/>
        <c:axId val="771220959"/>
        <c:axId val="771221375"/>
        <c:extLst>
          <c:ext xmlns:c15="http://schemas.microsoft.com/office/drawing/2012/chart" uri="{02D57815-91ED-43cb-92C2-25804820EDAC}">
            <c15:filteredBarSeries>
              <c15:ser>
                <c:idx val="1"/>
                <c:order val="1"/>
                <c:tx>
                  <c:strRef>
                    <c:extLst>
                      <c:ext uri="{02D57815-91ED-43cb-92C2-25804820EDAC}">
                        <c15:formulaRef>
                          <c15:sqref>Sheet1!$A$3</c15:sqref>
                        </c15:formulaRef>
                      </c:ext>
                    </c:extLst>
                    <c:strCache>
                      <c:ptCount val="1"/>
                    </c:strCache>
                  </c:strRef>
                </c:tx>
                <c:spPr>
                  <a:solidFill>
                    <a:schemeClr val="accent2"/>
                  </a:solidFill>
                  <a:ln>
                    <a:noFill/>
                  </a:ln>
                  <a:effectLst/>
                </c:spPr>
                <c:invertIfNegative val="0"/>
                <c:cat>
                  <c:strRef>
                    <c:extLst>
                      <c:ext uri="{02D57815-91ED-43cb-92C2-25804820EDAC}">
                        <c15:formulaRef>
                          <c15:sqref>Sheet1!$B$1:$F$1</c15:sqref>
                        </c15:formulaRef>
                      </c:ext>
                    </c:extLst>
                    <c:strCache>
                      <c:ptCount val="5"/>
                      <c:pt idx="0">
                        <c:v>2015/16</c:v>
                      </c:pt>
                      <c:pt idx="1">
                        <c:v>2016/17</c:v>
                      </c:pt>
                      <c:pt idx="2">
                        <c:v>2017/18</c:v>
                      </c:pt>
                      <c:pt idx="3">
                        <c:v>2018/19</c:v>
                      </c:pt>
                      <c:pt idx="4">
                        <c:v>2019/20</c:v>
                      </c:pt>
                    </c:strCache>
                  </c:strRef>
                </c:cat>
                <c:val>
                  <c:numRef>
                    <c:extLst>
                      <c:ext uri="{02D57815-91ED-43cb-92C2-25804820EDAC}">
                        <c15:formulaRef>
                          <c15:sqref>Sheet1!$B$3:$F$3</c15:sqref>
                        </c15:formulaRef>
                      </c:ext>
                    </c:extLst>
                    <c:numCache>
                      <c:formatCode>General</c:formatCode>
                      <c:ptCount val="5"/>
                    </c:numCache>
                  </c:numRef>
                </c:val>
                <c:extLst>
                  <c:ext xmlns:c16="http://schemas.microsoft.com/office/drawing/2014/chart" uri="{C3380CC4-5D6E-409C-BE32-E72D297353CC}">
                    <c16:uniqueId val="{0000000C-57B5-4D19-B52E-F3DEDCA956A7}"/>
                  </c:ext>
                </c:extLst>
              </c15:ser>
            </c15:filteredBarSeries>
          </c:ext>
        </c:extLst>
      </c:barChart>
      <c:catAx>
        <c:axId val="7712209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1221375"/>
        <c:crosses val="autoZero"/>
        <c:auto val="1"/>
        <c:lblAlgn val="ctr"/>
        <c:lblOffset val="100"/>
        <c:noMultiLvlLbl val="0"/>
      </c:catAx>
      <c:valAx>
        <c:axId val="771221375"/>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12209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Police</a:t>
            </a:r>
            <a:r>
              <a:rPr lang="en-NZ" baseline="0"/>
              <a:t> supported resolutions</a:t>
            </a:r>
            <a:endParaRPr lang="en-N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Sheet2!$B$1</c:f>
              <c:strCache>
                <c:ptCount val="1"/>
                <c:pt idx="0">
                  <c:v>2015/16</c:v>
                </c:pt>
              </c:strCache>
            </c:strRef>
          </c:tx>
          <c:spPr>
            <a:solidFill>
              <a:srgbClr val="00A9EF"/>
            </a:solidFill>
            <a:ln>
              <a:noFill/>
            </a:ln>
            <a:effectLst/>
          </c:spPr>
          <c:invertIfNegative val="0"/>
          <c:cat>
            <c:strRef>
              <c:f>Sheet2!$A$2:$A$7</c:f>
              <c:strCache>
                <c:ptCount val="6"/>
                <c:pt idx="0">
                  <c:v>Child restraints</c:v>
                </c:pt>
                <c:pt idx="1">
                  <c:v>Cycle helmet and lighting</c:v>
                </c:pt>
                <c:pt idx="2">
                  <c:v>Driver licensing</c:v>
                </c:pt>
                <c:pt idx="3">
                  <c:v>Vehicle defects</c:v>
                </c:pt>
                <c:pt idx="4">
                  <c:v>Vehicle licensing</c:v>
                </c:pt>
                <c:pt idx="5">
                  <c:v>Warrant of Fitness and Certificate of Fitness</c:v>
                </c:pt>
              </c:strCache>
            </c:strRef>
          </c:cat>
          <c:val>
            <c:numRef>
              <c:f>Sheet2!$B$2:$B$7</c:f>
              <c:numCache>
                <c:formatCode>General</c:formatCode>
                <c:ptCount val="6"/>
                <c:pt idx="0">
                  <c:v>369</c:v>
                </c:pt>
                <c:pt idx="1">
                  <c:v>833</c:v>
                </c:pt>
                <c:pt idx="2" formatCode="#,##0">
                  <c:v>9542</c:v>
                </c:pt>
                <c:pt idx="3" formatCode="#,##0">
                  <c:v>1825</c:v>
                </c:pt>
                <c:pt idx="4" formatCode="#,##0">
                  <c:v>26653</c:v>
                </c:pt>
                <c:pt idx="5" formatCode="#,##0">
                  <c:v>30531</c:v>
                </c:pt>
              </c:numCache>
            </c:numRef>
          </c:val>
          <c:extLst>
            <c:ext xmlns:c16="http://schemas.microsoft.com/office/drawing/2014/chart" uri="{C3380CC4-5D6E-409C-BE32-E72D297353CC}">
              <c16:uniqueId val="{00000000-728F-4474-8EF5-4E82DD168513}"/>
            </c:ext>
          </c:extLst>
        </c:ser>
        <c:ser>
          <c:idx val="1"/>
          <c:order val="1"/>
          <c:tx>
            <c:strRef>
              <c:f>Sheet2!$C$1</c:f>
              <c:strCache>
                <c:ptCount val="1"/>
                <c:pt idx="0">
                  <c:v>2016/17</c:v>
                </c:pt>
              </c:strCache>
            </c:strRef>
          </c:tx>
          <c:spPr>
            <a:solidFill>
              <a:srgbClr val="00938C"/>
            </a:solidFill>
            <a:ln>
              <a:noFill/>
            </a:ln>
            <a:effectLst/>
          </c:spPr>
          <c:invertIfNegative val="0"/>
          <c:cat>
            <c:strRef>
              <c:f>Sheet2!$A$2:$A$7</c:f>
              <c:strCache>
                <c:ptCount val="6"/>
                <c:pt idx="0">
                  <c:v>Child restraints</c:v>
                </c:pt>
                <c:pt idx="1">
                  <c:v>Cycle helmet and lighting</c:v>
                </c:pt>
                <c:pt idx="2">
                  <c:v>Driver licensing</c:v>
                </c:pt>
                <c:pt idx="3">
                  <c:v>Vehicle defects</c:v>
                </c:pt>
                <c:pt idx="4">
                  <c:v>Vehicle licensing</c:v>
                </c:pt>
                <c:pt idx="5">
                  <c:v>Warrant of Fitness and Certificate of Fitness</c:v>
                </c:pt>
              </c:strCache>
            </c:strRef>
          </c:cat>
          <c:val>
            <c:numRef>
              <c:f>Sheet2!$C$2:$C$7</c:f>
              <c:numCache>
                <c:formatCode>General</c:formatCode>
                <c:ptCount val="6"/>
                <c:pt idx="0">
                  <c:v>351</c:v>
                </c:pt>
                <c:pt idx="1">
                  <c:v>333</c:v>
                </c:pt>
                <c:pt idx="2" formatCode="#,##0">
                  <c:v>10288</c:v>
                </c:pt>
                <c:pt idx="3" formatCode="#,##0">
                  <c:v>1653</c:v>
                </c:pt>
                <c:pt idx="4" formatCode="#,##0">
                  <c:v>22840</c:v>
                </c:pt>
                <c:pt idx="5" formatCode="#,##0">
                  <c:v>28317</c:v>
                </c:pt>
              </c:numCache>
            </c:numRef>
          </c:val>
          <c:extLst>
            <c:ext xmlns:c16="http://schemas.microsoft.com/office/drawing/2014/chart" uri="{C3380CC4-5D6E-409C-BE32-E72D297353CC}">
              <c16:uniqueId val="{00000001-728F-4474-8EF5-4E82DD168513}"/>
            </c:ext>
          </c:extLst>
        </c:ser>
        <c:ser>
          <c:idx val="2"/>
          <c:order val="2"/>
          <c:tx>
            <c:strRef>
              <c:f>Sheet2!$D$1</c:f>
              <c:strCache>
                <c:ptCount val="1"/>
                <c:pt idx="0">
                  <c:v>2017/18</c:v>
                </c:pt>
              </c:strCache>
            </c:strRef>
          </c:tx>
          <c:spPr>
            <a:solidFill>
              <a:srgbClr val="3BA933"/>
            </a:solidFill>
            <a:ln>
              <a:noFill/>
            </a:ln>
            <a:effectLst/>
          </c:spPr>
          <c:invertIfNegative val="0"/>
          <c:cat>
            <c:strRef>
              <c:f>Sheet2!$A$2:$A$7</c:f>
              <c:strCache>
                <c:ptCount val="6"/>
                <c:pt idx="0">
                  <c:v>Child restraints</c:v>
                </c:pt>
                <c:pt idx="1">
                  <c:v>Cycle helmet and lighting</c:v>
                </c:pt>
                <c:pt idx="2">
                  <c:v>Driver licensing</c:v>
                </c:pt>
                <c:pt idx="3">
                  <c:v>Vehicle defects</c:v>
                </c:pt>
                <c:pt idx="4">
                  <c:v>Vehicle licensing</c:v>
                </c:pt>
                <c:pt idx="5">
                  <c:v>Warrant of Fitness and Certificate of Fitness</c:v>
                </c:pt>
              </c:strCache>
            </c:strRef>
          </c:cat>
          <c:val>
            <c:numRef>
              <c:f>Sheet2!$D$2:$D$7</c:f>
              <c:numCache>
                <c:formatCode>General</c:formatCode>
                <c:ptCount val="6"/>
                <c:pt idx="0">
                  <c:v>239</c:v>
                </c:pt>
                <c:pt idx="1">
                  <c:v>172</c:v>
                </c:pt>
                <c:pt idx="2" formatCode="#,##0">
                  <c:v>8062</c:v>
                </c:pt>
                <c:pt idx="3" formatCode="#,##0">
                  <c:v>1256</c:v>
                </c:pt>
                <c:pt idx="4" formatCode="#,##0">
                  <c:v>14886</c:v>
                </c:pt>
                <c:pt idx="5" formatCode="#,##0">
                  <c:v>16799</c:v>
                </c:pt>
              </c:numCache>
            </c:numRef>
          </c:val>
          <c:extLst>
            <c:ext xmlns:c16="http://schemas.microsoft.com/office/drawing/2014/chart" uri="{C3380CC4-5D6E-409C-BE32-E72D297353CC}">
              <c16:uniqueId val="{00000002-728F-4474-8EF5-4E82DD168513}"/>
            </c:ext>
          </c:extLst>
        </c:ser>
        <c:ser>
          <c:idx val="3"/>
          <c:order val="3"/>
          <c:tx>
            <c:strRef>
              <c:f>Sheet2!$E$1</c:f>
              <c:strCache>
                <c:ptCount val="1"/>
                <c:pt idx="0">
                  <c:v>2018/19</c:v>
                </c:pt>
              </c:strCache>
            </c:strRef>
          </c:tx>
          <c:spPr>
            <a:solidFill>
              <a:srgbClr val="B4D012"/>
            </a:solidFill>
            <a:ln>
              <a:noFill/>
            </a:ln>
            <a:effectLst/>
          </c:spPr>
          <c:invertIfNegative val="0"/>
          <c:cat>
            <c:strRef>
              <c:f>Sheet2!$A$2:$A$7</c:f>
              <c:strCache>
                <c:ptCount val="6"/>
                <c:pt idx="0">
                  <c:v>Child restraints</c:v>
                </c:pt>
                <c:pt idx="1">
                  <c:v>Cycle helmet and lighting</c:v>
                </c:pt>
                <c:pt idx="2">
                  <c:v>Driver licensing</c:v>
                </c:pt>
                <c:pt idx="3">
                  <c:v>Vehicle defects</c:v>
                </c:pt>
                <c:pt idx="4">
                  <c:v>Vehicle licensing</c:v>
                </c:pt>
                <c:pt idx="5">
                  <c:v>Warrant of Fitness and Certificate of Fitness</c:v>
                </c:pt>
              </c:strCache>
            </c:strRef>
          </c:cat>
          <c:val>
            <c:numRef>
              <c:f>Sheet2!$E$2:$E$7</c:f>
              <c:numCache>
                <c:formatCode>General</c:formatCode>
                <c:ptCount val="6"/>
                <c:pt idx="0">
                  <c:v>200</c:v>
                </c:pt>
                <c:pt idx="1">
                  <c:v>125</c:v>
                </c:pt>
                <c:pt idx="2" formatCode="#,##0">
                  <c:v>7380</c:v>
                </c:pt>
                <c:pt idx="3" formatCode="#,##0">
                  <c:v>1340</c:v>
                </c:pt>
                <c:pt idx="4" formatCode="#,##0">
                  <c:v>12573</c:v>
                </c:pt>
                <c:pt idx="5" formatCode="#,##0">
                  <c:v>16700</c:v>
                </c:pt>
              </c:numCache>
            </c:numRef>
          </c:val>
          <c:extLst>
            <c:ext xmlns:c16="http://schemas.microsoft.com/office/drawing/2014/chart" uri="{C3380CC4-5D6E-409C-BE32-E72D297353CC}">
              <c16:uniqueId val="{00000003-728F-4474-8EF5-4E82DD168513}"/>
            </c:ext>
          </c:extLst>
        </c:ser>
        <c:ser>
          <c:idx val="4"/>
          <c:order val="4"/>
          <c:tx>
            <c:strRef>
              <c:f>Sheet2!$F$1</c:f>
              <c:strCache>
                <c:ptCount val="1"/>
                <c:pt idx="0">
                  <c:v>2019/20</c:v>
                </c:pt>
              </c:strCache>
            </c:strRef>
          </c:tx>
          <c:spPr>
            <a:solidFill>
              <a:srgbClr val="F69E00"/>
            </a:solidFill>
            <a:ln>
              <a:noFill/>
            </a:ln>
            <a:effectLst/>
          </c:spPr>
          <c:invertIfNegative val="0"/>
          <c:cat>
            <c:strRef>
              <c:f>Sheet2!$A$2:$A$7</c:f>
              <c:strCache>
                <c:ptCount val="6"/>
                <c:pt idx="0">
                  <c:v>Child restraints</c:v>
                </c:pt>
                <c:pt idx="1">
                  <c:v>Cycle helmet and lighting</c:v>
                </c:pt>
                <c:pt idx="2">
                  <c:v>Driver licensing</c:v>
                </c:pt>
                <c:pt idx="3">
                  <c:v>Vehicle defects</c:v>
                </c:pt>
                <c:pt idx="4">
                  <c:v>Vehicle licensing</c:v>
                </c:pt>
                <c:pt idx="5">
                  <c:v>Warrant of Fitness and Certificate of Fitness</c:v>
                </c:pt>
              </c:strCache>
            </c:strRef>
          </c:cat>
          <c:val>
            <c:numRef>
              <c:f>Sheet2!$F$2:$F$7</c:f>
              <c:numCache>
                <c:formatCode>General</c:formatCode>
                <c:ptCount val="6"/>
                <c:pt idx="0">
                  <c:v>211</c:v>
                </c:pt>
                <c:pt idx="1">
                  <c:v>201</c:v>
                </c:pt>
                <c:pt idx="2" formatCode="#,##0">
                  <c:v>6821</c:v>
                </c:pt>
                <c:pt idx="3" formatCode="#,##0">
                  <c:v>1551</c:v>
                </c:pt>
                <c:pt idx="4" formatCode="#,##0">
                  <c:v>11396</c:v>
                </c:pt>
                <c:pt idx="5" formatCode="#,##0">
                  <c:v>17463</c:v>
                </c:pt>
              </c:numCache>
            </c:numRef>
          </c:val>
          <c:extLst>
            <c:ext xmlns:c16="http://schemas.microsoft.com/office/drawing/2014/chart" uri="{C3380CC4-5D6E-409C-BE32-E72D297353CC}">
              <c16:uniqueId val="{00000004-728F-4474-8EF5-4E82DD168513}"/>
            </c:ext>
          </c:extLst>
        </c:ser>
        <c:dLbls>
          <c:showLegendKey val="0"/>
          <c:showVal val="0"/>
          <c:showCatName val="0"/>
          <c:showSerName val="0"/>
          <c:showPercent val="0"/>
          <c:showBubbleSize val="0"/>
        </c:dLbls>
        <c:gapWidth val="219"/>
        <c:overlap val="-27"/>
        <c:axId val="2134991919"/>
        <c:axId val="2134992751"/>
      </c:barChart>
      <c:catAx>
        <c:axId val="2134991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4992751"/>
        <c:crosses val="autoZero"/>
        <c:auto val="1"/>
        <c:lblAlgn val="ctr"/>
        <c:lblOffset val="100"/>
        <c:noMultiLvlLbl val="0"/>
      </c:catAx>
      <c:valAx>
        <c:axId val="2134992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49919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Factors</a:t>
            </a:r>
            <a:r>
              <a:rPr lang="en-NZ" baseline="0"/>
              <a:t> contributing to crashes that lead to death and serious injury </a:t>
            </a:r>
            <a:endParaRPr lang="en-N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'contributing factors to DSI'!$A$2</c:f>
              <c:strCache>
                <c:ptCount val="1"/>
                <c:pt idx="0">
                  <c:v>Alcohol</c:v>
                </c:pt>
              </c:strCache>
            </c:strRef>
          </c:tx>
          <c:spPr>
            <a:solidFill>
              <a:srgbClr val="B4D012"/>
            </a:solidFill>
            <a:ln>
              <a:noFill/>
            </a:ln>
            <a:effectLst/>
          </c:spPr>
          <c:invertIfNegative val="0"/>
          <c:cat>
            <c:strRef>
              <c:f>'contributing factors to DSI'!$B$1:$F$1</c:f>
              <c:strCache>
                <c:ptCount val="5"/>
                <c:pt idx="0">
                  <c:v>2015/16</c:v>
                </c:pt>
                <c:pt idx="1">
                  <c:v>2016/17</c:v>
                </c:pt>
                <c:pt idx="2">
                  <c:v>2017/18</c:v>
                </c:pt>
                <c:pt idx="3">
                  <c:v>2018/19</c:v>
                </c:pt>
                <c:pt idx="4">
                  <c:v>2019/20</c:v>
                </c:pt>
              </c:strCache>
            </c:strRef>
          </c:cat>
          <c:val>
            <c:numRef>
              <c:f>'contributing factors to DSI'!$B$2:$F$2</c:f>
              <c:numCache>
                <c:formatCode>General</c:formatCode>
                <c:ptCount val="5"/>
                <c:pt idx="0">
                  <c:v>342</c:v>
                </c:pt>
                <c:pt idx="1">
                  <c:v>465</c:v>
                </c:pt>
                <c:pt idx="2">
                  <c:v>430</c:v>
                </c:pt>
                <c:pt idx="3">
                  <c:v>372</c:v>
                </c:pt>
                <c:pt idx="4">
                  <c:v>341</c:v>
                </c:pt>
              </c:numCache>
            </c:numRef>
          </c:val>
          <c:extLst>
            <c:ext xmlns:c16="http://schemas.microsoft.com/office/drawing/2014/chart" uri="{C3380CC4-5D6E-409C-BE32-E72D297353CC}">
              <c16:uniqueId val="{00000000-303A-4C3D-87F3-8D6DE670A74C}"/>
            </c:ext>
          </c:extLst>
        </c:ser>
        <c:ser>
          <c:idx val="1"/>
          <c:order val="1"/>
          <c:tx>
            <c:strRef>
              <c:f>'contributing factors to DSI'!$A$3</c:f>
              <c:strCache>
                <c:ptCount val="1"/>
                <c:pt idx="0">
                  <c:v>Drugs</c:v>
                </c:pt>
              </c:strCache>
            </c:strRef>
          </c:tx>
          <c:spPr>
            <a:solidFill>
              <a:srgbClr val="3BA933"/>
            </a:solidFill>
            <a:ln>
              <a:noFill/>
            </a:ln>
            <a:effectLst/>
          </c:spPr>
          <c:invertIfNegative val="0"/>
          <c:cat>
            <c:strRef>
              <c:f>'contributing factors to DSI'!$B$1:$F$1</c:f>
              <c:strCache>
                <c:ptCount val="5"/>
                <c:pt idx="0">
                  <c:v>2015/16</c:v>
                </c:pt>
                <c:pt idx="1">
                  <c:v>2016/17</c:v>
                </c:pt>
                <c:pt idx="2">
                  <c:v>2017/18</c:v>
                </c:pt>
                <c:pt idx="3">
                  <c:v>2018/19</c:v>
                </c:pt>
                <c:pt idx="4">
                  <c:v>2019/20</c:v>
                </c:pt>
              </c:strCache>
            </c:strRef>
          </c:cat>
          <c:val>
            <c:numRef>
              <c:f>'contributing factors to DSI'!$B$3:$F$3</c:f>
              <c:numCache>
                <c:formatCode>General</c:formatCode>
                <c:ptCount val="5"/>
                <c:pt idx="0">
                  <c:v>98</c:v>
                </c:pt>
                <c:pt idx="1">
                  <c:v>248</c:v>
                </c:pt>
                <c:pt idx="2">
                  <c:v>303</c:v>
                </c:pt>
                <c:pt idx="3">
                  <c:v>326</c:v>
                </c:pt>
                <c:pt idx="4">
                  <c:v>317</c:v>
                </c:pt>
              </c:numCache>
            </c:numRef>
          </c:val>
          <c:extLst>
            <c:ext xmlns:c16="http://schemas.microsoft.com/office/drawing/2014/chart" uri="{C3380CC4-5D6E-409C-BE32-E72D297353CC}">
              <c16:uniqueId val="{00000001-303A-4C3D-87F3-8D6DE670A74C}"/>
            </c:ext>
          </c:extLst>
        </c:ser>
        <c:ser>
          <c:idx val="2"/>
          <c:order val="2"/>
          <c:tx>
            <c:strRef>
              <c:f>'contributing factors to DSI'!$A$4</c:f>
              <c:strCache>
                <c:ptCount val="1"/>
                <c:pt idx="0">
                  <c:v>Speed</c:v>
                </c:pt>
              </c:strCache>
            </c:strRef>
          </c:tx>
          <c:spPr>
            <a:solidFill>
              <a:srgbClr val="00938C"/>
            </a:solidFill>
            <a:ln>
              <a:noFill/>
            </a:ln>
            <a:effectLst/>
          </c:spPr>
          <c:invertIfNegative val="0"/>
          <c:cat>
            <c:strRef>
              <c:f>'contributing factors to DSI'!$B$1:$F$1</c:f>
              <c:strCache>
                <c:ptCount val="5"/>
                <c:pt idx="0">
                  <c:v>2015/16</c:v>
                </c:pt>
                <c:pt idx="1">
                  <c:v>2016/17</c:v>
                </c:pt>
                <c:pt idx="2">
                  <c:v>2017/18</c:v>
                </c:pt>
                <c:pt idx="3">
                  <c:v>2018/19</c:v>
                </c:pt>
                <c:pt idx="4">
                  <c:v>2019/20</c:v>
                </c:pt>
              </c:strCache>
            </c:strRef>
          </c:cat>
          <c:val>
            <c:numRef>
              <c:f>'contributing factors to DSI'!$B$4:$F$4</c:f>
              <c:numCache>
                <c:formatCode>General</c:formatCode>
                <c:ptCount val="5"/>
                <c:pt idx="0">
                  <c:v>652</c:v>
                </c:pt>
                <c:pt idx="1">
                  <c:v>724</c:v>
                </c:pt>
                <c:pt idx="2">
                  <c:v>691</c:v>
                </c:pt>
                <c:pt idx="3">
                  <c:v>606</c:v>
                </c:pt>
                <c:pt idx="4">
                  <c:v>598</c:v>
                </c:pt>
              </c:numCache>
            </c:numRef>
          </c:val>
          <c:extLst>
            <c:ext xmlns:c16="http://schemas.microsoft.com/office/drawing/2014/chart" uri="{C3380CC4-5D6E-409C-BE32-E72D297353CC}">
              <c16:uniqueId val="{00000002-303A-4C3D-87F3-8D6DE670A74C}"/>
            </c:ext>
          </c:extLst>
        </c:ser>
        <c:ser>
          <c:idx val="3"/>
          <c:order val="3"/>
          <c:tx>
            <c:strRef>
              <c:f>'contributing factors to DSI'!$A$5</c:f>
              <c:strCache>
                <c:ptCount val="1"/>
                <c:pt idx="0">
                  <c:v>Fatigue and distraction</c:v>
                </c:pt>
              </c:strCache>
            </c:strRef>
          </c:tx>
          <c:spPr>
            <a:solidFill>
              <a:srgbClr val="00A9EF"/>
            </a:solidFill>
            <a:ln>
              <a:noFill/>
            </a:ln>
            <a:effectLst/>
          </c:spPr>
          <c:invertIfNegative val="0"/>
          <c:cat>
            <c:strRef>
              <c:f>'contributing factors to DSI'!$B$1:$F$1</c:f>
              <c:strCache>
                <c:ptCount val="5"/>
                <c:pt idx="0">
                  <c:v>2015/16</c:v>
                </c:pt>
                <c:pt idx="1">
                  <c:v>2016/17</c:v>
                </c:pt>
                <c:pt idx="2">
                  <c:v>2017/18</c:v>
                </c:pt>
                <c:pt idx="3">
                  <c:v>2018/19</c:v>
                </c:pt>
                <c:pt idx="4">
                  <c:v>2019/20</c:v>
                </c:pt>
              </c:strCache>
            </c:strRef>
          </c:cat>
          <c:val>
            <c:numRef>
              <c:f>'contributing factors to DSI'!$B$5:$F$5</c:f>
              <c:numCache>
                <c:formatCode>General</c:formatCode>
                <c:ptCount val="5"/>
                <c:pt idx="0">
                  <c:v>453</c:v>
                </c:pt>
                <c:pt idx="1">
                  <c:v>458</c:v>
                </c:pt>
                <c:pt idx="2">
                  <c:v>421</c:v>
                </c:pt>
                <c:pt idx="3">
                  <c:v>297</c:v>
                </c:pt>
                <c:pt idx="4">
                  <c:v>287</c:v>
                </c:pt>
              </c:numCache>
            </c:numRef>
          </c:val>
          <c:extLst>
            <c:ext xmlns:c16="http://schemas.microsoft.com/office/drawing/2014/chart" uri="{C3380CC4-5D6E-409C-BE32-E72D297353CC}">
              <c16:uniqueId val="{00000003-303A-4C3D-87F3-8D6DE670A74C}"/>
            </c:ext>
          </c:extLst>
        </c:ser>
        <c:dLbls>
          <c:showLegendKey val="0"/>
          <c:showVal val="0"/>
          <c:showCatName val="0"/>
          <c:showSerName val="0"/>
          <c:showPercent val="0"/>
          <c:showBubbleSize val="0"/>
        </c:dLbls>
        <c:gapWidth val="150"/>
        <c:overlap val="100"/>
        <c:axId val="758942239"/>
        <c:axId val="758942655"/>
      </c:barChart>
      <c:catAx>
        <c:axId val="7589422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8942655"/>
        <c:crosses val="autoZero"/>
        <c:auto val="1"/>
        <c:lblAlgn val="ctr"/>
        <c:lblOffset val="100"/>
        <c:noMultiLvlLbl val="0"/>
      </c:catAx>
      <c:valAx>
        <c:axId val="7589426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89422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sz="1400" b="0" i="0" u="none" strike="noStrike" baseline="0">
                <a:effectLst/>
              </a:rPr>
              <a:t>Vehicle occupant deaths where restraint not worn</a:t>
            </a:r>
            <a:r>
              <a:rPr lang="en-NZ" sz="1400" b="0" i="0" u="none" strike="noStrike" baseline="0"/>
              <a:t> </a:t>
            </a:r>
            <a:endParaRPr lang="en-N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rgbClr val="00A9EF"/>
            </a:solidFill>
            <a:ln>
              <a:noFill/>
            </a:ln>
            <a:effectLst/>
          </c:spPr>
          <c:invertIfNegative val="0"/>
          <c:dPt>
            <c:idx val="1"/>
            <c:invertIfNegative val="0"/>
            <c:bubble3D val="0"/>
            <c:spPr>
              <a:solidFill>
                <a:srgbClr val="00938C"/>
              </a:solidFill>
              <a:ln>
                <a:noFill/>
              </a:ln>
              <a:effectLst/>
            </c:spPr>
            <c:extLst>
              <c:ext xmlns:c16="http://schemas.microsoft.com/office/drawing/2014/chart" uri="{C3380CC4-5D6E-409C-BE32-E72D297353CC}">
                <c16:uniqueId val="{00000001-BC27-4FFE-B14E-5702BD052DB7}"/>
              </c:ext>
            </c:extLst>
          </c:dPt>
          <c:dPt>
            <c:idx val="2"/>
            <c:invertIfNegative val="0"/>
            <c:bubble3D val="0"/>
            <c:spPr>
              <a:solidFill>
                <a:srgbClr val="3BA933"/>
              </a:solidFill>
              <a:ln>
                <a:noFill/>
              </a:ln>
              <a:effectLst/>
            </c:spPr>
            <c:extLst>
              <c:ext xmlns:c16="http://schemas.microsoft.com/office/drawing/2014/chart" uri="{C3380CC4-5D6E-409C-BE32-E72D297353CC}">
                <c16:uniqueId val="{00000003-BC27-4FFE-B14E-5702BD052DB7}"/>
              </c:ext>
            </c:extLst>
          </c:dPt>
          <c:dPt>
            <c:idx val="3"/>
            <c:invertIfNegative val="0"/>
            <c:bubble3D val="0"/>
            <c:spPr>
              <a:solidFill>
                <a:srgbClr val="B4D012"/>
              </a:solidFill>
              <a:ln>
                <a:noFill/>
              </a:ln>
              <a:effectLst/>
            </c:spPr>
            <c:extLst>
              <c:ext xmlns:c16="http://schemas.microsoft.com/office/drawing/2014/chart" uri="{C3380CC4-5D6E-409C-BE32-E72D297353CC}">
                <c16:uniqueId val="{00000005-BC27-4FFE-B14E-5702BD052DB7}"/>
              </c:ext>
            </c:extLst>
          </c:dPt>
          <c:dPt>
            <c:idx val="4"/>
            <c:invertIfNegative val="0"/>
            <c:bubble3D val="0"/>
            <c:spPr>
              <a:solidFill>
                <a:srgbClr val="F69E00"/>
              </a:solidFill>
              <a:ln>
                <a:noFill/>
              </a:ln>
              <a:effectLst/>
            </c:spPr>
            <c:extLst>
              <c:ext xmlns:c16="http://schemas.microsoft.com/office/drawing/2014/chart" uri="{C3380CC4-5D6E-409C-BE32-E72D297353CC}">
                <c16:uniqueId val="{00000007-BC27-4FFE-B14E-5702BD052DB7}"/>
              </c:ext>
            </c:extLst>
          </c:dPt>
          <c:cat>
            <c:strRef>
              <c:f>'vehicle death no restraint'!$A$1:$E$1</c:f>
              <c:strCache>
                <c:ptCount val="5"/>
                <c:pt idx="0">
                  <c:v>2015/16</c:v>
                </c:pt>
                <c:pt idx="1">
                  <c:v>2016/17</c:v>
                </c:pt>
                <c:pt idx="2">
                  <c:v>2017/18</c:v>
                </c:pt>
                <c:pt idx="3">
                  <c:v>2018/19</c:v>
                </c:pt>
                <c:pt idx="4">
                  <c:v>2019/20</c:v>
                </c:pt>
              </c:strCache>
            </c:strRef>
          </c:cat>
          <c:val>
            <c:numRef>
              <c:f>'vehicle death no restraint'!$A$2:$E$2</c:f>
              <c:numCache>
                <c:formatCode>General</c:formatCode>
                <c:ptCount val="5"/>
                <c:pt idx="0">
                  <c:v>90</c:v>
                </c:pt>
                <c:pt idx="1">
                  <c:v>90</c:v>
                </c:pt>
                <c:pt idx="2">
                  <c:v>81</c:v>
                </c:pt>
                <c:pt idx="3">
                  <c:v>88</c:v>
                </c:pt>
                <c:pt idx="4">
                  <c:v>85</c:v>
                </c:pt>
              </c:numCache>
            </c:numRef>
          </c:val>
          <c:extLst>
            <c:ext xmlns:c16="http://schemas.microsoft.com/office/drawing/2014/chart" uri="{C3380CC4-5D6E-409C-BE32-E72D297353CC}">
              <c16:uniqueId val="{00000008-BC27-4FFE-B14E-5702BD052DB7}"/>
            </c:ext>
          </c:extLst>
        </c:ser>
        <c:dLbls>
          <c:showLegendKey val="0"/>
          <c:showVal val="0"/>
          <c:showCatName val="0"/>
          <c:showSerName val="0"/>
          <c:showPercent val="0"/>
          <c:showBubbleSize val="0"/>
        </c:dLbls>
        <c:gapWidth val="219"/>
        <c:overlap val="-27"/>
        <c:axId val="767668223"/>
        <c:axId val="767666975"/>
      </c:barChart>
      <c:catAx>
        <c:axId val="7676682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7666975"/>
        <c:crosses val="autoZero"/>
        <c:auto val="1"/>
        <c:lblAlgn val="ctr"/>
        <c:lblOffset val="100"/>
        <c:noMultiLvlLbl val="0"/>
      </c:catAx>
      <c:valAx>
        <c:axId val="767666975"/>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76682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6A4E5-44B7-4917-8DE4-B091BFD10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9457</Words>
  <Characters>53907</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Farrent-Smith</dc:creator>
  <cp:keywords/>
  <dc:description/>
  <cp:lastModifiedBy>Mike Anderson</cp:lastModifiedBy>
  <cp:revision>3</cp:revision>
  <dcterms:created xsi:type="dcterms:W3CDTF">2021-05-21T02:50:00Z</dcterms:created>
  <dcterms:modified xsi:type="dcterms:W3CDTF">2021-08-06T04:24:00Z</dcterms:modified>
</cp:coreProperties>
</file>