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4AD52" w14:textId="3463F92D" w:rsidR="00314D51" w:rsidRDefault="00314D51" w:rsidP="00314D51">
      <w:pPr>
        <w:pStyle w:val="Title"/>
        <w:rPr>
          <w:rStyle w:val="Strong"/>
          <w:b w:val="0"/>
        </w:rPr>
      </w:pPr>
      <w:r>
        <w:rPr>
          <w:rStyle w:val="Strong"/>
          <w:b w:val="0"/>
        </w:rPr>
        <w:t xml:space="preserve">Government Policy Statement on land transport </w:t>
      </w:r>
      <w:r w:rsidR="00816259">
        <w:rPr>
          <w:rStyle w:val="Strong"/>
          <w:b w:val="0"/>
        </w:rPr>
        <w:t xml:space="preserve">(GPS) </w:t>
      </w:r>
      <w:r>
        <w:rPr>
          <w:rStyle w:val="Strong"/>
          <w:b w:val="0"/>
        </w:rPr>
        <w:t xml:space="preserve">2018 </w:t>
      </w:r>
      <w:r w:rsidR="00816259">
        <w:rPr>
          <w:rStyle w:val="Strong"/>
          <w:b w:val="0"/>
        </w:rPr>
        <w:t>Year 1 Report</w:t>
      </w:r>
      <w:r>
        <w:rPr>
          <w:rStyle w:val="Strong"/>
          <w:b w:val="0"/>
        </w:rPr>
        <w:t xml:space="preserve"> </w:t>
      </w:r>
    </w:p>
    <w:p w14:paraId="307A0A91" w14:textId="77777777" w:rsidR="00314D51" w:rsidRPr="00372824" w:rsidRDefault="00314D51" w:rsidP="00314D51">
      <w:pPr>
        <w:pStyle w:val="Title"/>
        <w:rPr>
          <w:rStyle w:val="Strong"/>
          <w:b w:val="0"/>
          <w:sz w:val="28"/>
          <w:szCs w:val="28"/>
        </w:rPr>
      </w:pPr>
    </w:p>
    <w:p w14:paraId="54F4261B" w14:textId="3E945621" w:rsidR="00314D51" w:rsidRPr="00372824" w:rsidRDefault="00314D51" w:rsidP="00314D51">
      <w:pPr>
        <w:pStyle w:val="Title"/>
        <w:rPr>
          <w:color w:val="00A9EF" w:themeColor="accent1"/>
          <w:sz w:val="44"/>
          <w:szCs w:val="44"/>
        </w:rPr>
      </w:pPr>
      <w:r w:rsidRPr="00372824">
        <w:rPr>
          <w:rStyle w:val="Strong"/>
          <w:b w:val="0"/>
          <w:bCs w:val="0"/>
          <w:color w:val="00A9EF" w:themeColor="accent1"/>
          <w:sz w:val="44"/>
          <w:szCs w:val="44"/>
        </w:rPr>
        <w:t xml:space="preserve">Year 1 (2018/19) – </w:t>
      </w:r>
      <w:r>
        <w:rPr>
          <w:color w:val="00A9EF" w:themeColor="accent1"/>
          <w:sz w:val="44"/>
          <w:szCs w:val="44"/>
        </w:rPr>
        <w:t>Environment</w:t>
      </w:r>
    </w:p>
    <w:p w14:paraId="3566B3F3" w14:textId="77777777" w:rsidR="00314D51" w:rsidRPr="003B27E4" w:rsidRDefault="00314D51" w:rsidP="00314D51"/>
    <w:p w14:paraId="1A28482A" w14:textId="7EA61C09" w:rsidR="00623E84" w:rsidRDefault="00314D51" w:rsidP="003134D3">
      <w:r>
        <w:t xml:space="preserve">The </w:t>
      </w:r>
      <w:r w:rsidRPr="00372824">
        <w:t>Government Policy Statement (GPS) on land transport</w:t>
      </w:r>
      <w:r>
        <w:t xml:space="preserve"> 2018 </w:t>
      </w:r>
      <w:r w:rsidR="00534AAB">
        <w:t xml:space="preserve">has </w:t>
      </w:r>
      <w:r w:rsidR="00534AAB" w:rsidRPr="00425DDB">
        <w:t>long-term result</w:t>
      </w:r>
      <w:r w:rsidR="00534AAB">
        <w:t>s</w:t>
      </w:r>
      <w:r w:rsidR="00534AAB" w:rsidRPr="00425DDB">
        <w:t xml:space="preserve"> </w:t>
      </w:r>
      <w:r w:rsidR="00627040">
        <w:t xml:space="preserve">to </w:t>
      </w:r>
      <w:r w:rsidR="00627040" w:rsidRPr="00627040">
        <w:rPr>
          <w:b/>
        </w:rPr>
        <w:t>r</w:t>
      </w:r>
      <w:r w:rsidR="00534AAB" w:rsidRPr="00627040">
        <w:rPr>
          <w:b/>
        </w:rPr>
        <w:t>educe greenhous</w:t>
      </w:r>
      <w:r w:rsidR="008B0621" w:rsidRPr="00627040">
        <w:rPr>
          <w:b/>
        </w:rPr>
        <w:t>e gas emissions from transport</w:t>
      </w:r>
      <w:r w:rsidR="00627040">
        <w:rPr>
          <w:b/>
        </w:rPr>
        <w:t xml:space="preserve"> </w:t>
      </w:r>
      <w:r w:rsidR="00627040" w:rsidRPr="00627040">
        <w:t xml:space="preserve">and </w:t>
      </w:r>
      <w:r w:rsidR="00534AAB" w:rsidRPr="00627040">
        <w:rPr>
          <w:b/>
        </w:rPr>
        <w:t xml:space="preserve">transport’s negative effects on the local environment and public health. </w:t>
      </w:r>
      <w:r w:rsidR="00D511DB" w:rsidRPr="00D511DB">
        <w:t xml:space="preserve">In addition to the work associated with the GPS, </w:t>
      </w:r>
      <w:r w:rsidR="00D511DB">
        <w:t>t</w:t>
      </w:r>
      <w:r w:rsidR="00D511DB" w:rsidRPr="00D511DB">
        <w:t xml:space="preserve">he Government is </w:t>
      </w:r>
      <w:r w:rsidR="00D511DB">
        <w:t xml:space="preserve">also undertaking the </w:t>
      </w:r>
      <w:r w:rsidR="00D511DB" w:rsidRPr="00D511DB">
        <w:t>Electric Vehicles Programme to support the uptake of electric vehicles (EVs) alongside other low-emission forms of transport.</w:t>
      </w:r>
    </w:p>
    <w:p w14:paraId="669C668C" w14:textId="1CD4E985" w:rsidR="00534AAB" w:rsidRDefault="00534AAB" w:rsidP="003134D3">
      <w:r>
        <w:t xml:space="preserve">Many of the measures identified to track progress against these </w:t>
      </w:r>
      <w:r w:rsidR="00627040">
        <w:t xml:space="preserve">results </w:t>
      </w:r>
      <w:r>
        <w:t>are</w:t>
      </w:r>
      <w:r w:rsidR="009A5C67">
        <w:t xml:space="preserve"> not available for 2018/19. These</w:t>
      </w:r>
      <w:r>
        <w:t xml:space="preserve"> measures </w:t>
      </w:r>
      <w:r w:rsidR="009A5C67">
        <w:t xml:space="preserve">are being developed and </w:t>
      </w:r>
      <w:r>
        <w:t xml:space="preserve">will be </w:t>
      </w:r>
      <w:r w:rsidR="009A5C67">
        <w:t>included in future reports.</w:t>
      </w:r>
      <w:r>
        <w:t xml:space="preserve"> </w:t>
      </w:r>
    </w:p>
    <w:p w14:paraId="31CC477E" w14:textId="481B9BF9" w:rsidR="00534AAB" w:rsidRPr="00922D18" w:rsidRDefault="00534AAB" w:rsidP="00922D18">
      <w:pPr>
        <w:pStyle w:val="Heading1"/>
        <w:rPr>
          <w:rStyle w:val="IntenseReference"/>
          <w:b/>
          <w:bCs w:val="0"/>
          <w:smallCaps w:val="0"/>
          <w:spacing w:val="0"/>
        </w:rPr>
      </w:pPr>
      <w:r w:rsidRPr="00922D18">
        <w:rPr>
          <w:rStyle w:val="IntenseReference"/>
          <w:b/>
          <w:bCs w:val="0"/>
          <w:smallCaps w:val="0"/>
          <w:spacing w:val="0"/>
        </w:rPr>
        <w:t>GREENHOUSE GASES</w:t>
      </w:r>
    </w:p>
    <w:p w14:paraId="600E5E33" w14:textId="673CD904" w:rsidR="00FF5406" w:rsidRPr="004F3655" w:rsidRDefault="00FF5406" w:rsidP="003134D3">
      <w:pPr>
        <w:rPr>
          <w:rStyle w:val="Strong"/>
        </w:rPr>
      </w:pPr>
      <w:r>
        <w:rPr>
          <w:rStyle w:val="Strong"/>
        </w:rPr>
        <w:t xml:space="preserve">Greenhouse gas emissions from land transport as a proportion of all </w:t>
      </w:r>
      <w:r w:rsidR="00940A98">
        <w:rPr>
          <w:rStyle w:val="Strong"/>
        </w:rPr>
        <w:t xml:space="preserve">New Zealand greenhouse gas </w:t>
      </w:r>
      <w:r w:rsidR="00940A98" w:rsidRPr="004F3655">
        <w:rPr>
          <w:rStyle w:val="Strong"/>
        </w:rPr>
        <w:t>emissions</w:t>
      </w:r>
    </w:p>
    <w:p w14:paraId="64E3D476" w14:textId="6D724F7E" w:rsidR="00345673" w:rsidRPr="004F3655" w:rsidRDefault="009A0B00" w:rsidP="003134D3">
      <w:pPr>
        <w:rPr>
          <w:rStyle w:val="Strong"/>
          <w:b w:val="0"/>
        </w:rPr>
      </w:pPr>
      <w:r>
        <w:rPr>
          <w:rStyle w:val="Strong"/>
          <w:b w:val="0"/>
        </w:rPr>
        <w:t xml:space="preserve">This section reports on data from New Zealand’s Greenhouse Gas Inventory, the official annual report of human-generated greenhouse gas emission in New Zealand, maintained by the Ministry for the Environment. </w:t>
      </w:r>
      <w:r w:rsidR="00940A98" w:rsidRPr="004F3655">
        <w:rPr>
          <w:rStyle w:val="Strong"/>
          <w:b w:val="0"/>
        </w:rPr>
        <w:t xml:space="preserve">Land transport consistently contributes </w:t>
      </w:r>
      <w:r w:rsidR="003423B4" w:rsidRPr="004F3655">
        <w:rPr>
          <w:rStyle w:val="Strong"/>
          <w:b w:val="0"/>
        </w:rPr>
        <w:t xml:space="preserve">around </w:t>
      </w:r>
      <w:r w:rsidR="004F3655" w:rsidRPr="004F3655">
        <w:rPr>
          <w:rStyle w:val="Strong"/>
          <w:b w:val="0"/>
        </w:rPr>
        <w:t>18%</w:t>
      </w:r>
      <w:r w:rsidR="00940A98" w:rsidRPr="004F3655">
        <w:rPr>
          <w:rStyle w:val="Strong"/>
          <w:b w:val="0"/>
        </w:rPr>
        <w:t xml:space="preserve"> of all New Zealand greenhouse gas emissions</w:t>
      </w:r>
      <w:r w:rsidR="00EA55E5" w:rsidRPr="004F3655">
        <w:rPr>
          <w:rStyle w:val="Strong"/>
          <w:b w:val="0"/>
        </w:rPr>
        <w:t>;</w:t>
      </w:r>
      <w:r w:rsidR="004F3655" w:rsidRPr="004F3655">
        <w:rPr>
          <w:rStyle w:val="Strong"/>
          <w:b w:val="0"/>
        </w:rPr>
        <w:t xml:space="preserve"> almost all of which</w:t>
      </w:r>
      <w:r w:rsidR="003423B4" w:rsidRPr="004F3655">
        <w:rPr>
          <w:rStyle w:val="Strong"/>
          <w:b w:val="0"/>
        </w:rPr>
        <w:t xml:space="preserve"> comes</w:t>
      </w:r>
      <w:r w:rsidR="00D25A68" w:rsidRPr="004F3655">
        <w:rPr>
          <w:rStyle w:val="Strong"/>
          <w:b w:val="0"/>
        </w:rPr>
        <w:t xml:space="preserve"> from road transport emissions.</w:t>
      </w:r>
      <w:r w:rsidR="00C47323" w:rsidRPr="004F3655">
        <w:rPr>
          <w:rStyle w:val="Strong"/>
          <w:b w:val="0"/>
        </w:rPr>
        <w:t xml:space="preserve"> </w:t>
      </w:r>
      <w:r w:rsidR="004F3655" w:rsidRPr="004F3655">
        <w:rPr>
          <w:rStyle w:val="Strong"/>
          <w:b w:val="0"/>
        </w:rPr>
        <w:t>T</w:t>
      </w:r>
      <w:r w:rsidR="00C47323" w:rsidRPr="004F3655">
        <w:rPr>
          <w:rStyle w:val="Strong"/>
          <w:b w:val="0"/>
        </w:rPr>
        <w:t xml:space="preserve">otal emissions from road transport increased from </w:t>
      </w:r>
      <w:r w:rsidR="004F3655" w:rsidRPr="004F3655">
        <w:rPr>
          <w:rStyle w:val="Strong"/>
          <w:b w:val="0"/>
        </w:rPr>
        <w:t>13883.0</w:t>
      </w:r>
      <w:r w:rsidR="00C47323" w:rsidRPr="004F3655">
        <w:rPr>
          <w:rStyle w:val="Strong"/>
          <w:b w:val="0"/>
        </w:rPr>
        <w:t xml:space="preserve"> </w:t>
      </w:r>
      <w:proofErr w:type="spellStart"/>
      <w:r w:rsidR="00C47323" w:rsidRPr="004F3655">
        <w:rPr>
          <w:rStyle w:val="Strong"/>
          <w:b w:val="0"/>
        </w:rPr>
        <w:t>kilotonnes</w:t>
      </w:r>
      <w:proofErr w:type="spellEnd"/>
      <w:r w:rsidR="00C47323" w:rsidRPr="004F3655">
        <w:rPr>
          <w:rStyle w:val="Strong"/>
          <w:b w:val="0"/>
        </w:rPr>
        <w:t xml:space="preserve"> </w:t>
      </w:r>
      <w:r w:rsidR="00A33B5D">
        <w:rPr>
          <w:rStyle w:val="Strong"/>
          <w:b w:val="0"/>
        </w:rPr>
        <w:t>of c</w:t>
      </w:r>
      <w:r w:rsidR="00A33B5D" w:rsidRPr="004F3655">
        <w:t>arbon dioxide equivalent (CO</w:t>
      </w:r>
      <w:r w:rsidR="00A33B5D" w:rsidRPr="00A33B5D">
        <w:rPr>
          <w:vertAlign w:val="subscript"/>
        </w:rPr>
        <w:t>2</w:t>
      </w:r>
      <w:r w:rsidR="00A33B5D" w:rsidRPr="004F3655">
        <w:t>-e</w:t>
      </w:r>
      <w:r w:rsidR="00A33B5D">
        <w:t>)</w:t>
      </w:r>
      <w:r w:rsidR="00A33B5D" w:rsidRPr="004F3655">
        <w:rPr>
          <w:rStyle w:val="Strong"/>
          <w:b w:val="0"/>
        </w:rPr>
        <w:t xml:space="preserve"> </w:t>
      </w:r>
      <w:r w:rsidR="00C47323" w:rsidRPr="004F3655">
        <w:rPr>
          <w:rStyle w:val="Strong"/>
          <w:b w:val="0"/>
        </w:rPr>
        <w:t xml:space="preserve">in 2016 to </w:t>
      </w:r>
      <w:r w:rsidR="004F3655" w:rsidRPr="004F3655">
        <w:rPr>
          <w:rStyle w:val="Strong"/>
          <w:b w:val="0"/>
        </w:rPr>
        <w:t xml:space="preserve">14775.6 </w:t>
      </w:r>
      <w:proofErr w:type="spellStart"/>
      <w:r w:rsidR="004F3655" w:rsidRPr="004F3655">
        <w:rPr>
          <w:rStyle w:val="Strong"/>
          <w:b w:val="0"/>
        </w:rPr>
        <w:t>kilotonnes</w:t>
      </w:r>
      <w:proofErr w:type="spellEnd"/>
      <w:r w:rsidR="004F3655" w:rsidRPr="004F3655">
        <w:rPr>
          <w:rStyle w:val="Strong"/>
          <w:b w:val="0"/>
        </w:rPr>
        <w:t xml:space="preserve"> in 2017.</w:t>
      </w:r>
    </w:p>
    <w:p w14:paraId="264620DC" w14:textId="1DE47860" w:rsidR="009D4CAC" w:rsidRDefault="00A33B5D" w:rsidP="003134D3">
      <w:r>
        <w:t>CO</w:t>
      </w:r>
      <w:r w:rsidRPr="00A33B5D">
        <w:rPr>
          <w:vertAlign w:val="subscript"/>
        </w:rPr>
        <w:t>2</w:t>
      </w:r>
      <w:r>
        <w:t>-e</w:t>
      </w:r>
      <w:r w:rsidR="00345673" w:rsidRPr="004F3655">
        <w:t xml:space="preserve"> is a measure for how much global warming a given type</w:t>
      </w:r>
      <w:r w:rsidR="00345673" w:rsidRPr="00314D51">
        <w:t xml:space="preserve"> and amount of greenhouse gas causes, using the equivalent amount of carb</w:t>
      </w:r>
      <w:r>
        <w:t>on dioxide as the reference. CO</w:t>
      </w:r>
      <w:r w:rsidRPr="00A33B5D">
        <w:rPr>
          <w:vertAlign w:val="subscript"/>
        </w:rPr>
        <w:t>2</w:t>
      </w:r>
      <w:r w:rsidR="00345673" w:rsidRPr="00314D51">
        <w:t>-e is used for describing different greenhouse gases in a common unit, which allows them to be reported consistently.</w:t>
      </w:r>
    </w:p>
    <w:p w14:paraId="672F1A0F" w14:textId="16D7FC27" w:rsidR="00345673" w:rsidRDefault="004F3655" w:rsidP="003134D3">
      <w:r w:rsidRPr="004F3655">
        <w:rPr>
          <w:noProof/>
          <w:lang w:eastAsia="en-NZ"/>
        </w:rPr>
        <w:t xml:space="preserve"> </w:t>
      </w:r>
      <w:r w:rsidR="00A33B5D">
        <w:rPr>
          <w:noProof/>
          <w:lang w:eastAsia="en-NZ"/>
        </w:rPr>
        <w:drawing>
          <wp:inline distT="0" distB="0" distL="0" distR="0" wp14:anchorId="76F11C23" wp14:editId="7DA8134A">
            <wp:extent cx="5731510" cy="1938655"/>
            <wp:effectExtent l="0" t="0" r="2540" b="44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ED74D7" w14:textId="179A293F" w:rsidR="00953E56" w:rsidRPr="00623E84" w:rsidRDefault="00953E56" w:rsidP="00623E84">
      <w:pPr>
        <w:pStyle w:val="Caption"/>
      </w:pPr>
      <w:r w:rsidRPr="00623E84">
        <w:rPr>
          <w:b/>
        </w:rPr>
        <w:t>Land transport emissions as a total of all NZ greenhouse gas emissions</w:t>
      </w:r>
      <w:r w:rsidR="00977EA2" w:rsidRPr="00623E84">
        <w:rPr>
          <w:b/>
        </w:rPr>
        <w:t xml:space="preserve"> 2015-</w:t>
      </w:r>
      <w:r w:rsidR="00626802" w:rsidRPr="00623E84">
        <w:rPr>
          <w:b/>
        </w:rPr>
        <w:t>17</w:t>
      </w:r>
      <w:r w:rsidR="00623E84">
        <w:t xml:space="preserve">. </w:t>
      </w:r>
      <w:r w:rsidR="008B58F0" w:rsidRPr="00623E84">
        <w:t>Data source:</w:t>
      </w:r>
      <w:r w:rsidRPr="00623E84">
        <w:t xml:space="preserve"> </w:t>
      </w:r>
      <w:hyperlink r:id="rId9" w:anchor="NrAMBoEYF12TwCIByBTALo2wBM4eiQCs2AHEltEA" w:history="1">
        <w:r w:rsidRPr="00623E84">
          <w:rPr>
            <w:rStyle w:val="Hyperlink"/>
          </w:rPr>
          <w:t>Ministry for the Environment</w:t>
        </w:r>
      </w:hyperlink>
      <w:r w:rsidRPr="00623E84">
        <w:t>.</w:t>
      </w:r>
      <w:r w:rsidR="00626802" w:rsidRPr="00623E84">
        <w:t xml:space="preserve"> </w:t>
      </w:r>
      <w:r w:rsidR="00593C6C" w:rsidRPr="00623E84">
        <w:t>Note that this data is reported as calendar</w:t>
      </w:r>
      <w:r w:rsidR="00623E84">
        <w:t xml:space="preserve"> year rather than financial year. </w:t>
      </w:r>
    </w:p>
    <w:p w14:paraId="059B0FF3" w14:textId="030AE636" w:rsidR="00534AAB" w:rsidRDefault="00B12C16" w:rsidP="00922D18">
      <w:pPr>
        <w:keepNext/>
        <w:rPr>
          <w:rStyle w:val="Strong"/>
        </w:rPr>
      </w:pPr>
      <w:r>
        <w:rPr>
          <w:rStyle w:val="Strong"/>
        </w:rPr>
        <w:lastRenderedPageBreak/>
        <w:t>Greenhouse gas emissions</w:t>
      </w:r>
      <w:r w:rsidR="002E4B0B">
        <w:rPr>
          <w:rStyle w:val="Strong"/>
        </w:rPr>
        <w:t xml:space="preserve"> from land transport</w:t>
      </w:r>
    </w:p>
    <w:p w14:paraId="1604FDF5" w14:textId="457BFB20" w:rsidR="00357C3E" w:rsidRPr="002A7464" w:rsidRDefault="00940A98" w:rsidP="003134D3">
      <w:pPr>
        <w:rPr>
          <w:bCs/>
          <w:color w:val="000000" w:themeColor="text1"/>
        </w:rPr>
      </w:pPr>
      <w:r w:rsidRPr="002A7464">
        <w:rPr>
          <w:bCs/>
          <w:color w:val="000000" w:themeColor="text1"/>
        </w:rPr>
        <w:t xml:space="preserve">Unlike the data above which covers </w:t>
      </w:r>
      <w:r w:rsidR="002A7464" w:rsidRPr="002A7464">
        <w:rPr>
          <w:bCs/>
          <w:color w:val="000000" w:themeColor="text1"/>
        </w:rPr>
        <w:t xml:space="preserve">greenhouse gas emissions from all sources, the measures below are reported by </w:t>
      </w:r>
      <w:r w:rsidR="003B6CF1">
        <w:rPr>
          <w:bCs/>
          <w:color w:val="000000" w:themeColor="text1"/>
        </w:rPr>
        <w:t xml:space="preserve">Waka </w:t>
      </w:r>
      <w:proofErr w:type="spellStart"/>
      <w:r w:rsidR="003B6CF1">
        <w:rPr>
          <w:bCs/>
          <w:color w:val="000000" w:themeColor="text1"/>
        </w:rPr>
        <w:t>Kotahi</w:t>
      </w:r>
      <w:proofErr w:type="spellEnd"/>
      <w:r w:rsidR="002A7464" w:rsidRPr="002A7464">
        <w:rPr>
          <w:bCs/>
          <w:color w:val="000000" w:themeColor="text1"/>
        </w:rPr>
        <w:t xml:space="preserve"> and focus specifically on emissions from land transport. As a result, they follow a different methodology to that of the Ministry for the Environment (reported above). </w:t>
      </w:r>
      <w:r w:rsidR="00F938FF">
        <w:rPr>
          <w:bCs/>
          <w:color w:val="000000" w:themeColor="text1"/>
        </w:rPr>
        <w:t xml:space="preserve">Specifically, </w:t>
      </w:r>
      <w:r w:rsidR="00F938FF">
        <w:t>a</w:t>
      </w:r>
      <w:r w:rsidR="004F3655">
        <w:t xml:space="preserve"> matrix of vehicle emission factors, extracted from the New Zealand Vehicle Emission Prediction Model (VEPM 5.3), is used with the input variables to calculate the mass of pollutant per length of roadway. </w:t>
      </w:r>
      <w:r w:rsidR="00E0142A">
        <w:t xml:space="preserve">This method </w:t>
      </w:r>
      <w:r w:rsidR="00C43357">
        <w:t>has the advantage of providing</w:t>
      </w:r>
      <w:r w:rsidR="00F938FF">
        <w:t xml:space="preserve"> both national and regional es</w:t>
      </w:r>
      <w:r w:rsidR="00E0142A">
        <w:t>t</w:t>
      </w:r>
      <w:r w:rsidR="00F938FF">
        <w:t xml:space="preserve">imates. </w:t>
      </w:r>
      <w:r w:rsidR="00595663" w:rsidRPr="00595663">
        <w:rPr>
          <w:bCs/>
          <w:color w:val="000000" w:themeColor="text1"/>
        </w:rPr>
        <w:t>Currently these measures are limited to emissions from road transport but is expected to be extended over time to include rail</w:t>
      </w:r>
      <w:r w:rsidR="00357C3E">
        <w:rPr>
          <w:rStyle w:val="FootnoteReference"/>
          <w:bCs/>
          <w:color w:val="000000" w:themeColor="text1"/>
        </w:rPr>
        <w:footnoteReference w:id="1"/>
      </w:r>
      <w:r w:rsidR="00595663" w:rsidRPr="00595663">
        <w:rPr>
          <w:bCs/>
          <w:color w:val="000000" w:themeColor="text1"/>
        </w:rPr>
        <w:t>.</w:t>
      </w:r>
    </w:p>
    <w:tbl>
      <w:tblPr>
        <w:tblStyle w:val="GridTable4-Accent1"/>
        <w:tblW w:w="9351" w:type="dxa"/>
        <w:tblLook w:val="04A0" w:firstRow="1" w:lastRow="0" w:firstColumn="1" w:lastColumn="0" w:noHBand="0" w:noVBand="1"/>
      </w:tblPr>
      <w:tblGrid>
        <w:gridCol w:w="2835"/>
        <w:gridCol w:w="1629"/>
        <w:gridCol w:w="1629"/>
        <w:gridCol w:w="1629"/>
        <w:gridCol w:w="1629"/>
      </w:tblGrid>
      <w:tr w:rsidR="00627040" w14:paraId="0AF40565" w14:textId="77777777" w:rsidTr="00352C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6596E95D" w14:textId="77777777" w:rsidR="00627040" w:rsidRPr="002D335C" w:rsidRDefault="00627040" w:rsidP="003134D3">
            <w:pPr>
              <w:keepNext/>
              <w:rPr>
                <w:rFonts w:asciiTheme="minorHAnsi" w:hAnsiTheme="minorHAnsi" w:cstheme="minorHAnsi"/>
              </w:rPr>
            </w:pPr>
          </w:p>
        </w:tc>
        <w:tc>
          <w:tcPr>
            <w:tcW w:w="1629" w:type="dxa"/>
          </w:tcPr>
          <w:p w14:paraId="69838C4B" w14:textId="0BDD9013" w:rsidR="00627040" w:rsidRPr="00314813" w:rsidRDefault="005C4F74" w:rsidP="00F56663">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2015</w:t>
            </w:r>
          </w:p>
        </w:tc>
        <w:tc>
          <w:tcPr>
            <w:tcW w:w="1629" w:type="dxa"/>
          </w:tcPr>
          <w:p w14:paraId="76AA0E95" w14:textId="63158AEA" w:rsidR="00627040" w:rsidRPr="00314813" w:rsidRDefault="005C4F74" w:rsidP="00F56663">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2016</w:t>
            </w:r>
          </w:p>
        </w:tc>
        <w:tc>
          <w:tcPr>
            <w:tcW w:w="1629" w:type="dxa"/>
          </w:tcPr>
          <w:p w14:paraId="74FE5533" w14:textId="5ECACB7F" w:rsidR="00627040" w:rsidRPr="00314813" w:rsidRDefault="005C4F74" w:rsidP="00F56663">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2017</w:t>
            </w:r>
          </w:p>
        </w:tc>
        <w:tc>
          <w:tcPr>
            <w:tcW w:w="1629" w:type="dxa"/>
          </w:tcPr>
          <w:p w14:paraId="5C177518" w14:textId="20F4E88E" w:rsidR="00627040" w:rsidRPr="00314813" w:rsidRDefault="005C4F74" w:rsidP="00F56663">
            <w:pPr>
              <w:keepN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2018</w:t>
            </w:r>
          </w:p>
        </w:tc>
      </w:tr>
      <w:tr w:rsidR="001B4A31" w14:paraId="72FF4136" w14:textId="77777777" w:rsidTr="0035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C7EDD3D" w14:textId="0C8F604C" w:rsidR="001B4A31" w:rsidRPr="008B5DAE" w:rsidRDefault="001B4A31" w:rsidP="009A3057">
            <w:pPr>
              <w:keepNext/>
              <w:spacing w:before="40" w:after="40"/>
              <w:jc w:val="center"/>
              <w:rPr>
                <w:rFonts w:asciiTheme="minorHAnsi" w:hAnsiTheme="minorHAnsi" w:cstheme="minorHAnsi"/>
              </w:rPr>
            </w:pPr>
            <w:r w:rsidRPr="008B5DAE">
              <w:rPr>
                <w:rFonts w:asciiTheme="minorHAnsi" w:hAnsiTheme="minorHAnsi" w:cstheme="minorHAnsi"/>
              </w:rPr>
              <w:t xml:space="preserve">National total of greenhouse gases emitted per year from land transport in </w:t>
            </w:r>
            <w:proofErr w:type="spellStart"/>
            <w:r w:rsidRPr="008B5DAE">
              <w:rPr>
                <w:rFonts w:asciiTheme="minorHAnsi" w:hAnsiTheme="minorHAnsi" w:cstheme="minorHAnsi"/>
              </w:rPr>
              <w:t>kilotonnes</w:t>
            </w:r>
            <w:proofErr w:type="spellEnd"/>
          </w:p>
        </w:tc>
        <w:tc>
          <w:tcPr>
            <w:tcW w:w="1629" w:type="dxa"/>
          </w:tcPr>
          <w:p w14:paraId="69FA3EFB" w14:textId="402255BF" w:rsidR="001B4A31" w:rsidRPr="004B2CB4" w:rsidRDefault="004B2CB4"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p>
        </w:tc>
        <w:tc>
          <w:tcPr>
            <w:tcW w:w="1629" w:type="dxa"/>
          </w:tcPr>
          <w:p w14:paraId="404F0A83" w14:textId="194D3EB7" w:rsidR="001B4A31" w:rsidRPr="008B5DAE" w:rsidRDefault="00352CBD"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color w:val="000000"/>
              </w:rPr>
              <w:t>10,813</w:t>
            </w:r>
          </w:p>
        </w:tc>
        <w:tc>
          <w:tcPr>
            <w:tcW w:w="1629" w:type="dxa"/>
          </w:tcPr>
          <w:p w14:paraId="33530993" w14:textId="66A180EF" w:rsidR="001B4A31" w:rsidRPr="008B5DAE" w:rsidRDefault="001B4A31"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color w:val="000000"/>
              </w:rPr>
              <w:t>10,834</w:t>
            </w:r>
          </w:p>
        </w:tc>
        <w:tc>
          <w:tcPr>
            <w:tcW w:w="1629" w:type="dxa"/>
          </w:tcPr>
          <w:p w14:paraId="13A318E8" w14:textId="5CDC4C74" w:rsidR="001B4A31" w:rsidRPr="008B5DAE" w:rsidRDefault="001B4A31"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color w:val="000000"/>
              </w:rPr>
              <w:t>11,500</w:t>
            </w:r>
          </w:p>
        </w:tc>
      </w:tr>
      <w:tr w:rsidR="002E4B0B" w14:paraId="03E1016A" w14:textId="77777777" w:rsidTr="00352CBD">
        <w:tc>
          <w:tcPr>
            <w:cnfStyle w:val="001000000000" w:firstRow="0" w:lastRow="0" w:firstColumn="1" w:lastColumn="0" w:oddVBand="0" w:evenVBand="0" w:oddHBand="0" w:evenHBand="0" w:firstRowFirstColumn="0" w:firstRowLastColumn="0" w:lastRowFirstColumn="0" w:lastRowLastColumn="0"/>
            <w:tcW w:w="2835" w:type="dxa"/>
          </w:tcPr>
          <w:p w14:paraId="1B446DDD" w14:textId="3B282B84" w:rsidR="002E4B0B" w:rsidRPr="008B5DAE" w:rsidRDefault="00A972EC" w:rsidP="009A3057">
            <w:pPr>
              <w:keepNext/>
              <w:spacing w:before="40" w:after="40"/>
              <w:jc w:val="center"/>
              <w:rPr>
                <w:rFonts w:asciiTheme="minorHAnsi" w:hAnsiTheme="minorHAnsi" w:cstheme="minorHAnsi"/>
              </w:rPr>
            </w:pPr>
            <w:r>
              <w:rPr>
                <w:rFonts w:asciiTheme="minorHAnsi" w:hAnsiTheme="minorHAnsi" w:cstheme="minorHAnsi"/>
              </w:rPr>
              <w:t>Greenhouse gas emissions (per 100,000</w:t>
            </w:r>
            <w:r w:rsidR="00B43B1A">
              <w:rPr>
                <w:rFonts w:asciiTheme="minorHAnsi" w:hAnsiTheme="minorHAnsi" w:cstheme="minorHAnsi"/>
              </w:rPr>
              <w:t xml:space="preserve"> population</w:t>
            </w:r>
            <w:r w:rsidR="002E4B0B" w:rsidRPr="008B5DAE">
              <w:rPr>
                <w:rFonts w:asciiTheme="minorHAnsi" w:hAnsiTheme="minorHAnsi" w:cstheme="minorHAnsi"/>
              </w:rPr>
              <w:t>)</w:t>
            </w:r>
            <w:r w:rsidR="00861774" w:rsidRPr="008B5DAE">
              <w:rPr>
                <w:rFonts w:asciiTheme="minorHAnsi" w:hAnsiTheme="minorHAnsi" w:cstheme="minorHAnsi"/>
              </w:rPr>
              <w:t xml:space="preserve"> in </w:t>
            </w:r>
            <w:proofErr w:type="spellStart"/>
            <w:r w:rsidR="00861774" w:rsidRPr="008B5DAE">
              <w:rPr>
                <w:rFonts w:asciiTheme="minorHAnsi" w:hAnsiTheme="minorHAnsi" w:cstheme="minorHAnsi"/>
              </w:rPr>
              <w:t>kilotonnes</w:t>
            </w:r>
            <w:proofErr w:type="spellEnd"/>
          </w:p>
        </w:tc>
        <w:tc>
          <w:tcPr>
            <w:tcW w:w="1629" w:type="dxa"/>
          </w:tcPr>
          <w:p w14:paraId="2B376D16" w14:textId="55345103" w:rsidR="002E4B0B" w:rsidRPr="008B5DAE" w:rsidRDefault="00EA3518" w:rsidP="009A3057">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rPr>
              <w:t>-</w:t>
            </w:r>
          </w:p>
        </w:tc>
        <w:tc>
          <w:tcPr>
            <w:tcW w:w="1629" w:type="dxa"/>
          </w:tcPr>
          <w:p w14:paraId="0860A882" w14:textId="4DDBC75E" w:rsidR="002E4B0B" w:rsidRPr="008B5DAE" w:rsidRDefault="00861774" w:rsidP="009A3057">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rPr>
              <w:t>226.9</w:t>
            </w:r>
          </w:p>
        </w:tc>
        <w:tc>
          <w:tcPr>
            <w:tcW w:w="1629" w:type="dxa"/>
          </w:tcPr>
          <w:p w14:paraId="7F2D2996" w14:textId="037C3778" w:rsidR="002E4B0B" w:rsidRPr="008B5DAE" w:rsidRDefault="00861774" w:rsidP="009A3057">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rPr>
              <w:t>223.8</w:t>
            </w:r>
          </w:p>
        </w:tc>
        <w:tc>
          <w:tcPr>
            <w:tcW w:w="1629" w:type="dxa"/>
          </w:tcPr>
          <w:p w14:paraId="02A15FB3" w14:textId="4F68B3A9" w:rsidR="002E4B0B" w:rsidRPr="008B5DAE" w:rsidRDefault="00861774" w:rsidP="009A3057">
            <w:pPr>
              <w:keepNext/>
              <w:spacing w:before="40" w:after="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rPr>
              <w:t>233.9</w:t>
            </w:r>
          </w:p>
        </w:tc>
      </w:tr>
      <w:tr w:rsidR="002E4B0B" w14:paraId="294E4DF3" w14:textId="77777777" w:rsidTr="00352C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549B4272" w14:textId="3C5FA32B" w:rsidR="002E4B0B" w:rsidRPr="008B5DAE" w:rsidRDefault="002E4B0B" w:rsidP="009A3057">
            <w:pPr>
              <w:keepNext/>
              <w:spacing w:before="40" w:after="40"/>
              <w:jc w:val="center"/>
              <w:rPr>
                <w:rFonts w:asciiTheme="minorHAnsi" w:hAnsiTheme="minorHAnsi" w:cstheme="minorHAnsi"/>
              </w:rPr>
            </w:pPr>
            <w:r w:rsidRPr="008B5DAE">
              <w:rPr>
                <w:rFonts w:asciiTheme="minorHAnsi" w:hAnsiTheme="minorHAnsi" w:cstheme="minorHAnsi"/>
              </w:rPr>
              <w:t>% change since previous year</w:t>
            </w:r>
          </w:p>
        </w:tc>
        <w:tc>
          <w:tcPr>
            <w:tcW w:w="1629" w:type="dxa"/>
          </w:tcPr>
          <w:p w14:paraId="6350F371" w14:textId="5CE2F47E" w:rsidR="002E4B0B" w:rsidRPr="008B5DAE" w:rsidRDefault="00EA3518"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rPr>
              <w:t>-</w:t>
            </w:r>
          </w:p>
        </w:tc>
        <w:tc>
          <w:tcPr>
            <w:tcW w:w="1629" w:type="dxa"/>
          </w:tcPr>
          <w:p w14:paraId="339822B3" w14:textId="3840A7FA" w:rsidR="002E4B0B" w:rsidRPr="008B5DAE" w:rsidRDefault="00EA3518"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8B5DAE">
              <w:rPr>
                <w:rFonts w:asciiTheme="minorHAnsi" w:hAnsiTheme="minorHAnsi" w:cstheme="minorHAnsi"/>
              </w:rPr>
              <w:t>-</w:t>
            </w:r>
          </w:p>
        </w:tc>
        <w:tc>
          <w:tcPr>
            <w:tcW w:w="1629" w:type="dxa"/>
          </w:tcPr>
          <w:p w14:paraId="6E77EF09" w14:textId="0CF69154" w:rsidR="002E4B0B" w:rsidRPr="008B5DAE" w:rsidRDefault="002A7464"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00861774" w:rsidRPr="008B5DAE">
              <w:rPr>
                <w:rFonts w:asciiTheme="minorHAnsi" w:hAnsiTheme="minorHAnsi" w:cstheme="minorHAnsi"/>
              </w:rPr>
              <w:t>0.2%</w:t>
            </w:r>
          </w:p>
        </w:tc>
        <w:tc>
          <w:tcPr>
            <w:tcW w:w="1629" w:type="dxa"/>
          </w:tcPr>
          <w:p w14:paraId="0A1A2D73" w14:textId="4A34F8C5" w:rsidR="002E4B0B" w:rsidRPr="008B5DAE" w:rsidRDefault="002A7464" w:rsidP="009A3057">
            <w:pPr>
              <w:keepNext/>
              <w:spacing w:before="40" w:after="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w:t>
            </w:r>
            <w:r w:rsidR="00861774" w:rsidRPr="008B5DAE">
              <w:rPr>
                <w:rFonts w:asciiTheme="minorHAnsi" w:hAnsiTheme="minorHAnsi" w:cstheme="minorHAnsi"/>
              </w:rPr>
              <w:t>6.1%</w:t>
            </w:r>
          </w:p>
        </w:tc>
      </w:tr>
    </w:tbl>
    <w:p w14:paraId="6BDD1789" w14:textId="44C9E22D" w:rsidR="00627040" w:rsidRPr="00953E56" w:rsidRDefault="003B6CF1" w:rsidP="003134D3">
      <w:pPr>
        <w:rPr>
          <w:i/>
          <w:sz w:val="18"/>
          <w:szCs w:val="18"/>
        </w:rPr>
      </w:pPr>
      <w:r>
        <w:rPr>
          <w:i/>
          <w:sz w:val="18"/>
          <w:szCs w:val="18"/>
        </w:rPr>
        <w:t xml:space="preserve">Data source: Waka </w:t>
      </w:r>
      <w:proofErr w:type="spellStart"/>
      <w:r>
        <w:rPr>
          <w:i/>
          <w:sz w:val="18"/>
          <w:szCs w:val="18"/>
        </w:rPr>
        <w:t>Kotahi</w:t>
      </w:r>
      <w:proofErr w:type="spellEnd"/>
      <w:r>
        <w:rPr>
          <w:i/>
          <w:sz w:val="18"/>
          <w:szCs w:val="18"/>
        </w:rPr>
        <w:t>.</w:t>
      </w:r>
      <w:r w:rsidR="000661D4">
        <w:rPr>
          <w:i/>
          <w:sz w:val="18"/>
          <w:szCs w:val="18"/>
        </w:rPr>
        <w:t xml:space="preserve"> </w:t>
      </w:r>
    </w:p>
    <w:p w14:paraId="2481D38E" w14:textId="1EB4BAA5" w:rsidR="002E4B0B" w:rsidRDefault="002E4B0B" w:rsidP="003134D3">
      <w:pPr>
        <w:keepNext/>
        <w:rPr>
          <w:rStyle w:val="Strong"/>
        </w:rPr>
      </w:pPr>
      <w:r>
        <w:rPr>
          <w:rStyle w:val="Strong"/>
        </w:rPr>
        <w:lastRenderedPageBreak/>
        <w:t>Greenhouse gas emissions by region</w:t>
      </w:r>
    </w:p>
    <w:p w14:paraId="16691FCA" w14:textId="14F21979" w:rsidR="009A3057" w:rsidRDefault="009A3057" w:rsidP="003134D3">
      <w:pPr>
        <w:keepNext/>
        <w:rPr>
          <w:rStyle w:val="Strong"/>
          <w:b w:val="0"/>
        </w:rPr>
      </w:pPr>
      <w:r>
        <w:rPr>
          <w:rStyle w:val="Strong"/>
          <w:b w:val="0"/>
        </w:rPr>
        <w:t>The region with the highest greenhouse gas emissions</w:t>
      </w:r>
      <w:r w:rsidR="002E316C">
        <w:rPr>
          <w:rStyle w:val="Strong"/>
          <w:b w:val="0"/>
        </w:rPr>
        <w:t xml:space="preserve"> from land transport</w:t>
      </w:r>
      <w:r>
        <w:rPr>
          <w:rStyle w:val="Strong"/>
          <w:b w:val="0"/>
        </w:rPr>
        <w:t xml:space="preserve"> is Auckland, foll</w:t>
      </w:r>
      <w:r w:rsidR="00E90721">
        <w:rPr>
          <w:rStyle w:val="Strong"/>
          <w:b w:val="0"/>
        </w:rPr>
        <w:t>owed by Waikato and Canterbury.</w:t>
      </w:r>
    </w:p>
    <w:p w14:paraId="31562A8F" w14:textId="40A2B066" w:rsidR="00626802" w:rsidRPr="00E90721" w:rsidRDefault="00631862" w:rsidP="003134D3">
      <w:pPr>
        <w:keepNext/>
        <w:rPr>
          <w:bCs/>
          <w:color w:val="000000" w:themeColor="text1"/>
        </w:rPr>
      </w:pPr>
      <w:r>
        <w:rPr>
          <w:noProof/>
          <w:lang w:eastAsia="en-NZ"/>
        </w:rPr>
        <w:drawing>
          <wp:inline distT="0" distB="0" distL="0" distR="0" wp14:anchorId="3C561511" wp14:editId="082C2F30">
            <wp:extent cx="5940000" cy="3600000"/>
            <wp:effectExtent l="0" t="0" r="381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10BE60" w14:textId="7D2D9CE7" w:rsidR="000661D4" w:rsidRPr="00623E84" w:rsidRDefault="00626802" w:rsidP="00623E84">
      <w:pPr>
        <w:pStyle w:val="Subtitle"/>
        <w:rPr>
          <w:color w:val="58585A" w:themeColor="text2"/>
          <w:sz w:val="18"/>
          <w:szCs w:val="18"/>
        </w:rPr>
      </w:pPr>
      <w:r w:rsidRPr="00623E84">
        <w:rPr>
          <w:b/>
          <w:color w:val="58585A" w:themeColor="text2"/>
          <w:sz w:val="18"/>
          <w:szCs w:val="18"/>
        </w:rPr>
        <w:t xml:space="preserve">Greenhouse gas emissions by region </w:t>
      </w:r>
      <w:r w:rsidR="00977EA2" w:rsidRPr="00623E84">
        <w:rPr>
          <w:b/>
          <w:color w:val="58585A" w:themeColor="text2"/>
          <w:sz w:val="18"/>
          <w:szCs w:val="18"/>
        </w:rPr>
        <w:t>2016-</w:t>
      </w:r>
      <w:r w:rsidR="00A367BB" w:rsidRPr="00623E84">
        <w:rPr>
          <w:b/>
          <w:color w:val="58585A" w:themeColor="text2"/>
          <w:sz w:val="18"/>
          <w:szCs w:val="18"/>
        </w:rPr>
        <w:t>18</w:t>
      </w:r>
      <w:r w:rsidR="00623E84" w:rsidRPr="00623E84">
        <w:rPr>
          <w:b/>
          <w:color w:val="58585A" w:themeColor="text2"/>
          <w:sz w:val="18"/>
          <w:szCs w:val="18"/>
        </w:rPr>
        <w:t>.</w:t>
      </w:r>
      <w:r w:rsidR="00623E84" w:rsidRPr="00623E84">
        <w:rPr>
          <w:color w:val="58585A" w:themeColor="text2"/>
          <w:sz w:val="18"/>
          <w:szCs w:val="18"/>
        </w:rPr>
        <w:t xml:space="preserve"> </w:t>
      </w:r>
      <w:r w:rsidR="003B6CF1">
        <w:rPr>
          <w:color w:val="58585A" w:themeColor="text2"/>
          <w:sz w:val="18"/>
          <w:szCs w:val="18"/>
        </w:rPr>
        <w:t xml:space="preserve">Data source: Waka </w:t>
      </w:r>
      <w:proofErr w:type="spellStart"/>
      <w:r w:rsidR="003B6CF1">
        <w:rPr>
          <w:color w:val="58585A" w:themeColor="text2"/>
          <w:sz w:val="18"/>
          <w:szCs w:val="18"/>
        </w:rPr>
        <w:t>Kotahi</w:t>
      </w:r>
      <w:proofErr w:type="spellEnd"/>
      <w:r w:rsidR="000661D4" w:rsidRPr="00623E84">
        <w:rPr>
          <w:color w:val="58585A" w:themeColor="text2"/>
          <w:sz w:val="18"/>
          <w:szCs w:val="18"/>
        </w:rPr>
        <w:t xml:space="preserve">. </w:t>
      </w:r>
    </w:p>
    <w:tbl>
      <w:tblPr>
        <w:tblStyle w:val="TableGrid"/>
        <w:tblW w:w="9354" w:type="dxa"/>
        <w:tblLook w:val="04A0" w:firstRow="1" w:lastRow="0" w:firstColumn="1" w:lastColumn="0" w:noHBand="0" w:noVBand="1"/>
      </w:tblPr>
      <w:tblGrid>
        <w:gridCol w:w="9354"/>
      </w:tblGrid>
      <w:tr w:rsidR="00627040" w14:paraId="7E2CD526" w14:textId="77777777" w:rsidTr="00623E84">
        <w:tc>
          <w:tcPr>
            <w:tcW w:w="9354" w:type="dxa"/>
            <w:tcBorders>
              <w:top w:val="nil"/>
              <w:left w:val="nil"/>
              <w:bottom w:val="nil"/>
              <w:right w:val="nil"/>
            </w:tcBorders>
            <w:shd w:val="clear" w:color="auto" w:fill="DDDDDE" w:themeFill="text2" w:themeFillTint="33"/>
          </w:tcPr>
          <w:p w14:paraId="54114E95" w14:textId="0A80F1EF" w:rsidR="00627040" w:rsidRDefault="00627040" w:rsidP="00922D18">
            <w:pPr>
              <w:keepNext/>
              <w:spacing w:before="40" w:after="40"/>
              <w:rPr>
                <w:rStyle w:val="Strong"/>
                <w:color w:val="auto"/>
              </w:rPr>
            </w:pPr>
            <w:r w:rsidRPr="00A63112">
              <w:rPr>
                <w:rStyle w:val="Strong"/>
                <w:color w:val="auto"/>
              </w:rPr>
              <w:t>More information</w:t>
            </w:r>
          </w:p>
          <w:p w14:paraId="74D0828A" w14:textId="295BA970" w:rsidR="0014397A" w:rsidRPr="002E4B0B" w:rsidRDefault="002E4B0B" w:rsidP="00922D18">
            <w:pPr>
              <w:keepNext/>
              <w:spacing w:before="40" w:after="40"/>
              <w:rPr>
                <w:rStyle w:val="Strong"/>
                <w:b w:val="0"/>
              </w:rPr>
            </w:pPr>
            <w:r>
              <w:rPr>
                <w:rStyle w:val="Strong"/>
                <w:b w:val="0"/>
              </w:rPr>
              <w:t xml:space="preserve">Click </w:t>
            </w:r>
            <w:hyperlink r:id="rId11" w:history="1">
              <w:r w:rsidRPr="002E4B0B">
                <w:rPr>
                  <w:rStyle w:val="Hyperlink"/>
                </w:rPr>
                <w:t>here</w:t>
              </w:r>
            </w:hyperlink>
            <w:r w:rsidRPr="002E4B0B">
              <w:rPr>
                <w:rStyle w:val="Strong"/>
                <w:b w:val="0"/>
              </w:rPr>
              <w:t xml:space="preserve"> for more information about the work the Ministry is doing with regards to greenhouse gases.</w:t>
            </w:r>
            <w:r>
              <w:rPr>
                <w:rStyle w:val="Strong"/>
                <w:b w:val="0"/>
              </w:rPr>
              <w:t xml:space="preserve"> We have </w:t>
            </w:r>
            <w:r w:rsidR="000661D4">
              <w:rPr>
                <w:rStyle w:val="Strong"/>
                <w:b w:val="0"/>
              </w:rPr>
              <w:t xml:space="preserve">largely </w:t>
            </w:r>
            <w:r>
              <w:rPr>
                <w:rStyle w:val="Strong"/>
                <w:b w:val="0"/>
              </w:rPr>
              <w:t xml:space="preserve">relied on </w:t>
            </w:r>
            <w:r w:rsidR="003B6CF1">
              <w:rPr>
                <w:rStyle w:val="Strong"/>
                <w:b w:val="0"/>
              </w:rPr>
              <w:t xml:space="preserve">Waka </w:t>
            </w:r>
            <w:proofErr w:type="spellStart"/>
            <w:r w:rsidR="003B6CF1">
              <w:rPr>
                <w:rStyle w:val="Strong"/>
                <w:b w:val="0"/>
              </w:rPr>
              <w:t>Kotahi</w:t>
            </w:r>
            <w:proofErr w:type="spellEnd"/>
            <w:r w:rsidR="003B6CF1">
              <w:rPr>
                <w:rStyle w:val="Strong"/>
                <w:b w:val="0"/>
              </w:rPr>
              <w:t xml:space="preserve"> </w:t>
            </w:r>
            <w:r>
              <w:rPr>
                <w:rStyle w:val="Strong"/>
                <w:b w:val="0"/>
              </w:rPr>
              <w:t xml:space="preserve">data </w:t>
            </w:r>
            <w:r w:rsidR="000661D4">
              <w:rPr>
                <w:rStyle w:val="Strong"/>
                <w:b w:val="0"/>
              </w:rPr>
              <w:t>in this report because it includes</w:t>
            </w:r>
            <w:r>
              <w:rPr>
                <w:rStyle w:val="Strong"/>
                <w:b w:val="0"/>
              </w:rPr>
              <w:t xml:space="preserve"> regional breakdowns, but more information at a national level is also available from </w:t>
            </w:r>
            <w:r w:rsidR="00C530BC">
              <w:rPr>
                <w:rStyle w:val="Strong"/>
                <w:b w:val="0"/>
              </w:rPr>
              <w:t xml:space="preserve">the Ministry for the Environment’s </w:t>
            </w:r>
            <w:hyperlink r:id="rId12" w:history="1">
              <w:r w:rsidR="00C530BC" w:rsidRPr="00C530BC">
                <w:rPr>
                  <w:rStyle w:val="Hyperlink"/>
                </w:rPr>
                <w:t>Greenhouse Gas Inventory</w:t>
              </w:r>
            </w:hyperlink>
            <w:r w:rsidR="002A7464">
              <w:rPr>
                <w:rStyle w:val="Strong"/>
                <w:b w:val="0"/>
              </w:rPr>
              <w:t xml:space="preserve">. </w:t>
            </w:r>
          </w:p>
        </w:tc>
      </w:tr>
    </w:tbl>
    <w:p w14:paraId="42E12997" w14:textId="4D8683E0" w:rsidR="00534AAB" w:rsidRDefault="00837C1C" w:rsidP="003134D3">
      <w:pPr>
        <w:pStyle w:val="Heading1"/>
        <w:rPr>
          <w:rStyle w:val="Strong"/>
          <w:b/>
          <w:bCs w:val="0"/>
          <w:color w:val="00A9EF" w:themeColor="accent1"/>
        </w:rPr>
      </w:pPr>
      <w:r>
        <w:rPr>
          <w:rStyle w:val="Strong"/>
          <w:b/>
          <w:bCs w:val="0"/>
          <w:color w:val="00A9EF" w:themeColor="accent1"/>
        </w:rPr>
        <w:t>NOISE POLLUTION</w:t>
      </w:r>
    </w:p>
    <w:p w14:paraId="3C47F1A5" w14:textId="77DD0E5D" w:rsidR="00875A67" w:rsidRDefault="00875A67" w:rsidP="00875A67">
      <w:pPr>
        <w:keepNext/>
        <w:rPr>
          <w:rStyle w:val="Strong"/>
        </w:rPr>
      </w:pPr>
      <w:r>
        <w:rPr>
          <w:rStyle w:val="Strong"/>
        </w:rPr>
        <w:t xml:space="preserve">Exposure to land transport noise </w:t>
      </w:r>
    </w:p>
    <w:p w14:paraId="2F7F1510" w14:textId="340AB330" w:rsidR="00802F79" w:rsidRDefault="00B0691F" w:rsidP="003134D3">
      <w:pPr>
        <w:rPr>
          <w:rStyle w:val="Strong"/>
          <w:b w:val="0"/>
        </w:rPr>
      </w:pPr>
      <w:r>
        <w:rPr>
          <w:rStyle w:val="Strong"/>
          <w:b w:val="0"/>
        </w:rPr>
        <w:t>In 2017</w:t>
      </w:r>
      <w:r w:rsidR="009A3057">
        <w:rPr>
          <w:rStyle w:val="Strong"/>
          <w:b w:val="0"/>
        </w:rPr>
        <w:t>, 3</w:t>
      </w:r>
      <w:r w:rsidR="00E87A0B">
        <w:rPr>
          <w:rStyle w:val="Strong"/>
          <w:b w:val="0"/>
        </w:rPr>
        <w:t>7,883</w:t>
      </w:r>
      <w:r w:rsidR="009A3057">
        <w:rPr>
          <w:rStyle w:val="Strong"/>
          <w:b w:val="0"/>
        </w:rPr>
        <w:t xml:space="preserve"> people</w:t>
      </w:r>
      <w:r w:rsidR="00573680">
        <w:rPr>
          <w:rStyle w:val="Strong"/>
          <w:b w:val="0"/>
        </w:rPr>
        <w:t xml:space="preserve"> </w:t>
      </w:r>
      <w:r w:rsidR="0033334A">
        <w:rPr>
          <w:rStyle w:val="Strong"/>
          <w:b w:val="0"/>
        </w:rPr>
        <w:t xml:space="preserve">were exposed to </w:t>
      </w:r>
      <w:r w:rsidR="00A458CD">
        <w:rPr>
          <w:rStyle w:val="Strong"/>
          <w:b w:val="0"/>
        </w:rPr>
        <w:t>land transport noise equal or more than 64</w:t>
      </w:r>
      <w:r w:rsidR="00A458CD" w:rsidRPr="00A458CD">
        <w:t xml:space="preserve"> </w:t>
      </w:r>
      <w:proofErr w:type="spellStart"/>
      <w:r w:rsidR="00851C18">
        <w:rPr>
          <w:rStyle w:val="Strong"/>
          <w:b w:val="0"/>
        </w:rPr>
        <w:t>LAeq</w:t>
      </w:r>
      <w:proofErr w:type="spellEnd"/>
      <w:r w:rsidR="00851C18">
        <w:rPr>
          <w:rStyle w:val="Strong"/>
          <w:b w:val="0"/>
        </w:rPr>
        <w:t xml:space="preserve"> (A </w:t>
      </w:r>
      <w:r w:rsidR="00A458CD" w:rsidRPr="00A458CD">
        <w:rPr>
          <w:rStyle w:val="Strong"/>
          <w:b w:val="0"/>
        </w:rPr>
        <w:t>weighted equivalent continuous sound level in decibels) measured over 24 hours</w:t>
      </w:r>
      <w:r w:rsidR="003C524F">
        <w:rPr>
          <w:rStyle w:val="Strong"/>
          <w:b w:val="0"/>
        </w:rPr>
        <w:t xml:space="preserve">. </w:t>
      </w:r>
    </w:p>
    <w:p w14:paraId="58883DA5" w14:textId="29F51E69" w:rsidR="00837C1C" w:rsidRDefault="00837C1C" w:rsidP="003134D3">
      <w:pPr>
        <w:rPr>
          <w:rStyle w:val="Strong"/>
          <w:b w:val="0"/>
        </w:rPr>
      </w:pPr>
      <w:r>
        <w:rPr>
          <w:rStyle w:val="Strong"/>
          <w:b w:val="0"/>
        </w:rPr>
        <w:t xml:space="preserve">Regional breakdowns of this data show that the number of people exposed to </w:t>
      </w:r>
      <w:r w:rsidR="00A209EA">
        <w:rPr>
          <w:rStyle w:val="Strong"/>
          <w:b w:val="0"/>
        </w:rPr>
        <w:t>high</w:t>
      </w:r>
      <w:r>
        <w:rPr>
          <w:rStyle w:val="Strong"/>
          <w:b w:val="0"/>
        </w:rPr>
        <w:t xml:space="preserve"> levels of land transport noise is highest in Auckland and W</w:t>
      </w:r>
      <w:r w:rsidR="0001526B">
        <w:rPr>
          <w:rStyle w:val="Strong"/>
          <w:b w:val="0"/>
        </w:rPr>
        <w:t xml:space="preserve">ellington. </w:t>
      </w:r>
      <w:r w:rsidR="000661D4" w:rsidRPr="000661D4">
        <w:rPr>
          <w:rStyle w:val="Strong"/>
          <w:b w:val="0"/>
        </w:rPr>
        <w:t>Currently this measure includes only road but in future is expected to also include rail.</w:t>
      </w:r>
    </w:p>
    <w:p w14:paraId="684198FF" w14:textId="09DE512D" w:rsidR="0001526B" w:rsidRDefault="00631862" w:rsidP="003134D3">
      <w:pPr>
        <w:rPr>
          <w:rStyle w:val="Strong"/>
          <w:b w:val="0"/>
        </w:rPr>
      </w:pPr>
      <w:r>
        <w:rPr>
          <w:noProof/>
          <w:lang w:eastAsia="en-NZ"/>
        </w:rPr>
        <w:lastRenderedPageBreak/>
        <w:drawing>
          <wp:inline distT="0" distB="0" distL="0" distR="0" wp14:anchorId="373BEC08" wp14:editId="361C36AB">
            <wp:extent cx="6071235" cy="3151632"/>
            <wp:effectExtent l="0" t="0" r="5715"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255F93" w14:textId="3A0C2FC7" w:rsidR="00BB7973" w:rsidRDefault="00837C1C" w:rsidP="00623E84">
      <w:pPr>
        <w:pStyle w:val="Caption"/>
      </w:pPr>
      <w:r w:rsidRPr="00623E84">
        <w:rPr>
          <w:b/>
        </w:rPr>
        <w:t xml:space="preserve">Exposure to </w:t>
      </w:r>
      <w:r w:rsidR="00A209EA" w:rsidRPr="00623E84">
        <w:rPr>
          <w:b/>
        </w:rPr>
        <w:t xml:space="preserve">land transport noise </w:t>
      </w:r>
      <w:r w:rsidR="00B0691F">
        <w:rPr>
          <w:b/>
        </w:rPr>
        <w:t>by region (2017</w:t>
      </w:r>
      <w:bookmarkStart w:id="0" w:name="_GoBack"/>
      <w:bookmarkEnd w:id="0"/>
      <w:r w:rsidRPr="00623E84">
        <w:rPr>
          <w:b/>
        </w:rPr>
        <w:t>)</w:t>
      </w:r>
      <w:r w:rsidR="00623E84" w:rsidRPr="00623E84">
        <w:rPr>
          <w:b/>
        </w:rPr>
        <w:t>.</w:t>
      </w:r>
      <w:r w:rsidR="00623E84" w:rsidRPr="00623E84">
        <w:t xml:space="preserve"> </w:t>
      </w:r>
      <w:r w:rsidR="003B6CF1">
        <w:t xml:space="preserve">Data source: Waka </w:t>
      </w:r>
      <w:proofErr w:type="spellStart"/>
      <w:r w:rsidR="003B6CF1">
        <w:t>Kotahi</w:t>
      </w:r>
      <w:proofErr w:type="spellEnd"/>
      <w:r w:rsidR="000661D4" w:rsidRPr="00623E84">
        <w:t xml:space="preserve">. </w:t>
      </w:r>
    </w:p>
    <w:p w14:paraId="2926858E" w14:textId="13E82920" w:rsidR="000477E8" w:rsidRDefault="000477E8" w:rsidP="000477E8"/>
    <w:tbl>
      <w:tblPr>
        <w:tblStyle w:val="TableGrid"/>
        <w:tblW w:w="9351" w:type="dxa"/>
        <w:tblLook w:val="04A0" w:firstRow="1" w:lastRow="0" w:firstColumn="1" w:lastColumn="0" w:noHBand="0" w:noVBand="1"/>
      </w:tblPr>
      <w:tblGrid>
        <w:gridCol w:w="9351"/>
      </w:tblGrid>
      <w:tr w:rsidR="000477E8" w14:paraId="0963A344" w14:textId="77777777" w:rsidTr="004705D7">
        <w:tc>
          <w:tcPr>
            <w:tcW w:w="9351" w:type="dxa"/>
            <w:tcBorders>
              <w:top w:val="nil"/>
              <w:left w:val="nil"/>
              <w:bottom w:val="nil"/>
              <w:right w:val="nil"/>
            </w:tcBorders>
            <w:shd w:val="clear" w:color="auto" w:fill="C8EFFF" w:themeFill="accent1" w:themeFillTint="33"/>
          </w:tcPr>
          <w:p w14:paraId="368AB0DF" w14:textId="77777777" w:rsidR="000477E8" w:rsidRPr="006E224E" w:rsidRDefault="000477E8" w:rsidP="004705D7">
            <w:pPr>
              <w:keepNext/>
              <w:rPr>
                <w:b/>
                <w:color w:val="000000" w:themeColor="text1"/>
              </w:rPr>
            </w:pPr>
            <w:r>
              <w:rPr>
                <w:b/>
                <w:color w:val="000000" w:themeColor="text1"/>
              </w:rPr>
              <w:t>Notes for reading this report</w:t>
            </w:r>
          </w:p>
          <w:p w14:paraId="68EFAD2C" w14:textId="77777777" w:rsidR="00CC2BE6" w:rsidRPr="00F01D87" w:rsidRDefault="00CC2BE6" w:rsidP="00CC2BE6">
            <w:pPr>
              <w:pStyle w:val="ListParagraph"/>
              <w:numPr>
                <w:ilvl w:val="0"/>
                <w:numId w:val="34"/>
              </w:numPr>
            </w:pPr>
            <w:r w:rsidRPr="00F01D87">
              <w:t xml:space="preserve">Data is provided by financial year </w:t>
            </w:r>
            <w:r>
              <w:t>where available, and is otherwise provided by calendar year.</w:t>
            </w:r>
          </w:p>
          <w:p w14:paraId="4DD36666" w14:textId="77777777" w:rsidR="00CC2BE6" w:rsidRPr="008D018F" w:rsidRDefault="00CC2BE6" w:rsidP="00CC2BE6">
            <w:pPr>
              <w:pStyle w:val="ListParagraph"/>
              <w:numPr>
                <w:ilvl w:val="0"/>
                <w:numId w:val="34"/>
              </w:numPr>
            </w:pPr>
            <w:r w:rsidRPr="00F01D87">
              <w:t xml:space="preserve">Where available, data is provided for the most recent year (i.e. 2018/19) plus the three </w:t>
            </w:r>
            <w:r w:rsidRPr="008D018F">
              <w:t>years covered by the previous GPS, GPS 2015 (i.e. 2015/16, 2016/17, 2017/18)</w:t>
            </w:r>
            <w:r>
              <w:t>, to provide baseline</w:t>
            </w:r>
            <w:r w:rsidRPr="008D018F">
              <w:t xml:space="preserve">. In some cases </w:t>
            </w:r>
            <w:r>
              <w:t xml:space="preserve">historical </w:t>
            </w:r>
            <w:r w:rsidRPr="008D018F">
              <w:t>data is not available</w:t>
            </w:r>
            <w:r>
              <w:t xml:space="preserve"> and is therefore not included in the report</w:t>
            </w:r>
            <w:r w:rsidRPr="008D018F">
              <w:t xml:space="preserve">. </w:t>
            </w:r>
          </w:p>
          <w:p w14:paraId="420C22BC" w14:textId="77777777" w:rsidR="00CC2BE6" w:rsidRPr="008D018F" w:rsidRDefault="00CC2BE6" w:rsidP="00CC2BE6">
            <w:pPr>
              <w:pStyle w:val="ListParagraph"/>
              <w:numPr>
                <w:ilvl w:val="0"/>
                <w:numId w:val="34"/>
              </w:numPr>
              <w:rPr>
                <w:color w:val="000000"/>
              </w:rPr>
            </w:pPr>
            <w:r w:rsidRPr="008D018F">
              <w:t xml:space="preserve">Input or investment measures (i.e. $ invested in X) are based on </w:t>
            </w:r>
            <w:r>
              <w:t xml:space="preserve">Waka </w:t>
            </w:r>
            <w:proofErr w:type="spellStart"/>
            <w:r>
              <w:t>Kotahi</w:t>
            </w:r>
            <w:r w:rsidRPr="008D018F">
              <w:t>’s</w:t>
            </w:r>
            <w:proofErr w:type="spellEnd"/>
            <w:r w:rsidRPr="008D018F">
              <w:t xml:space="preserve"> Transport Investment Online (TIO) system and include funding from the National Land Transport Fund (NLTF), Crown funding, and, where applicable, local share. It does not include money from the </w:t>
            </w:r>
            <w:r w:rsidRPr="008D018F">
              <w:rPr>
                <w:color w:val="000000"/>
              </w:rPr>
              <w:t xml:space="preserve">Provincial Growth Fund (PGF). </w:t>
            </w:r>
            <w:r w:rsidRPr="008D018F">
              <w:t>The numbers are therefore</w:t>
            </w:r>
            <w:r w:rsidRPr="008D018F">
              <w:rPr>
                <w:color w:val="000000"/>
              </w:rPr>
              <w:t xml:space="preserve"> not comparable with the </w:t>
            </w:r>
            <w:r>
              <w:rPr>
                <w:color w:val="000000"/>
              </w:rPr>
              <w:t xml:space="preserve">Waka </w:t>
            </w:r>
            <w:proofErr w:type="spellStart"/>
            <w:r>
              <w:rPr>
                <w:color w:val="000000"/>
              </w:rPr>
              <w:t>Kotahi</w:t>
            </w:r>
            <w:proofErr w:type="spellEnd"/>
            <w:r w:rsidRPr="008D018F">
              <w:rPr>
                <w:color w:val="000000"/>
              </w:rPr>
              <w:t xml:space="preserve">-produced NLTF annual report which does not include local share but does include PGF. </w:t>
            </w:r>
          </w:p>
          <w:p w14:paraId="669D4B4E" w14:textId="77777777" w:rsidR="00CC2BE6" w:rsidRPr="006E79B1" w:rsidRDefault="00CC2BE6" w:rsidP="00CC2BE6">
            <w:pPr>
              <w:pStyle w:val="ListParagraph"/>
              <w:numPr>
                <w:ilvl w:val="0"/>
                <w:numId w:val="34"/>
              </w:numPr>
              <w:rPr>
                <w:color w:val="000000"/>
              </w:rPr>
            </w:pPr>
            <w:r w:rsidRPr="006E79B1">
              <w:rPr>
                <w:color w:val="000000"/>
              </w:rPr>
              <w:t xml:space="preserve">Land transport activities that are proposed and delivered by approved organisations (e.g. local road maintenance, local road improvements, public transport) are delivered by the local authority with funding assistance from the NLTF. The amount that </w:t>
            </w:r>
            <w:r>
              <w:rPr>
                <w:color w:val="000000"/>
              </w:rPr>
              <w:t xml:space="preserve">Waka </w:t>
            </w:r>
            <w:proofErr w:type="spellStart"/>
            <w:r>
              <w:rPr>
                <w:color w:val="000000"/>
              </w:rPr>
              <w:t>Kotahi</w:t>
            </w:r>
            <w:proofErr w:type="spellEnd"/>
            <w:r w:rsidRPr="006E79B1">
              <w:rPr>
                <w:color w:val="000000"/>
              </w:rPr>
              <w:t xml:space="preserve"> co-invests from the NLTF in local activities is largely determined by the funding assistance rates (FARs) applicable to approved organisations. Approved organisations raise their local share from rates revenue, debt, developer contributions or other financial contributions and revenue.</w:t>
            </w:r>
            <w:r>
              <w:rPr>
                <w:color w:val="000000"/>
              </w:rPr>
              <w:t xml:space="preserve"> </w:t>
            </w:r>
          </w:p>
          <w:p w14:paraId="6E3461C0" w14:textId="77777777" w:rsidR="000477E8" w:rsidRDefault="00CC2BE6" w:rsidP="00CC2BE6">
            <w:pPr>
              <w:pStyle w:val="ListParagraph"/>
              <w:numPr>
                <w:ilvl w:val="0"/>
                <w:numId w:val="34"/>
              </w:numPr>
              <w:rPr>
                <w:color w:val="000000"/>
              </w:rPr>
            </w:pPr>
            <w:r w:rsidRPr="00F01D87">
              <w:rPr>
                <w:color w:val="000000"/>
              </w:rPr>
              <w:t>Numbers are provided to one decimal place where available</w:t>
            </w:r>
            <w:r>
              <w:rPr>
                <w:color w:val="000000"/>
              </w:rPr>
              <w:t xml:space="preserve"> to the Ministry</w:t>
            </w:r>
            <w:r w:rsidRPr="00F01D87">
              <w:rPr>
                <w:color w:val="000000"/>
              </w:rPr>
              <w:t>.</w:t>
            </w:r>
          </w:p>
          <w:p w14:paraId="48D0B2AE" w14:textId="34A9B93E" w:rsidR="00917C8F" w:rsidRPr="008D018F" w:rsidRDefault="00917C8F" w:rsidP="00917C8F">
            <w:pPr>
              <w:pStyle w:val="ListParagraph"/>
              <w:rPr>
                <w:color w:val="000000"/>
              </w:rPr>
            </w:pPr>
          </w:p>
        </w:tc>
      </w:tr>
    </w:tbl>
    <w:p w14:paraId="4C7E7662" w14:textId="77777777" w:rsidR="000477E8" w:rsidRPr="000477E8" w:rsidRDefault="000477E8" w:rsidP="000477E8"/>
    <w:sectPr w:rsidR="000477E8" w:rsidRPr="000477E8" w:rsidSect="003134D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0859" w14:textId="77777777" w:rsidR="001C4966" w:rsidRDefault="001C4966" w:rsidP="00770CFF">
      <w:pPr>
        <w:spacing w:after="0" w:line="240" w:lineRule="auto"/>
      </w:pPr>
      <w:r>
        <w:separator/>
      </w:r>
    </w:p>
  </w:endnote>
  <w:endnote w:type="continuationSeparator" w:id="0">
    <w:p w14:paraId="143CEA99" w14:textId="77777777" w:rsidR="001C4966" w:rsidRDefault="001C4966" w:rsidP="007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86AE5" w14:textId="77777777" w:rsidR="00917C8F" w:rsidRDefault="00917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097917"/>
      <w:docPartObj>
        <w:docPartGallery w:val="Page Numbers (Bottom of Page)"/>
        <w:docPartUnique/>
      </w:docPartObj>
    </w:sdtPr>
    <w:sdtEndPr>
      <w:rPr>
        <w:noProof/>
      </w:rPr>
    </w:sdtEndPr>
    <w:sdtContent>
      <w:p w14:paraId="50143EAC" w14:textId="41223D6B" w:rsidR="00E74640" w:rsidRDefault="00E74640">
        <w:pPr>
          <w:pStyle w:val="Footer"/>
          <w:jc w:val="right"/>
        </w:pPr>
        <w:r>
          <w:fldChar w:fldCharType="begin"/>
        </w:r>
        <w:r>
          <w:instrText xml:space="preserve"> PAGE   \* MERGEFORMAT </w:instrText>
        </w:r>
        <w:r>
          <w:fldChar w:fldCharType="separate"/>
        </w:r>
        <w:r w:rsidR="00B0691F">
          <w:rPr>
            <w:noProof/>
          </w:rPr>
          <w:t>4</w:t>
        </w:r>
        <w:r>
          <w:rPr>
            <w:noProof/>
          </w:rPr>
          <w:fldChar w:fldCharType="end"/>
        </w:r>
      </w:p>
    </w:sdtContent>
  </w:sdt>
  <w:p w14:paraId="1B22B664" w14:textId="77777777" w:rsidR="00E74640" w:rsidRDefault="00E746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A038A" w14:textId="77777777" w:rsidR="00917C8F" w:rsidRDefault="00917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F8CB7" w14:textId="77777777" w:rsidR="001C4966" w:rsidRDefault="001C4966" w:rsidP="00770CFF">
      <w:pPr>
        <w:spacing w:after="0" w:line="240" w:lineRule="auto"/>
      </w:pPr>
      <w:r>
        <w:separator/>
      </w:r>
    </w:p>
  </w:footnote>
  <w:footnote w:type="continuationSeparator" w:id="0">
    <w:p w14:paraId="05FAE64B" w14:textId="77777777" w:rsidR="001C4966" w:rsidRDefault="001C4966" w:rsidP="00770CFF">
      <w:pPr>
        <w:spacing w:after="0" w:line="240" w:lineRule="auto"/>
      </w:pPr>
      <w:r>
        <w:continuationSeparator/>
      </w:r>
    </w:p>
  </w:footnote>
  <w:footnote w:id="1">
    <w:p w14:paraId="663C711A" w14:textId="6A337568" w:rsidR="00357C3E" w:rsidRDefault="00357C3E">
      <w:pPr>
        <w:pStyle w:val="FootnoteText"/>
      </w:pPr>
      <w:r>
        <w:rPr>
          <w:rStyle w:val="FootnoteReference"/>
        </w:rPr>
        <w:footnoteRef/>
      </w:r>
      <w:r>
        <w:t xml:space="preserve"> </w:t>
      </w:r>
      <w:r w:rsidR="003B6CF1">
        <w:rPr>
          <w:bCs/>
          <w:color w:val="000000" w:themeColor="text1"/>
        </w:rPr>
        <w:t xml:space="preserve">See Waka </w:t>
      </w:r>
      <w:proofErr w:type="spellStart"/>
      <w:r w:rsidR="003B6CF1">
        <w:rPr>
          <w:bCs/>
          <w:color w:val="000000" w:themeColor="text1"/>
        </w:rPr>
        <w:t>Kotahi</w:t>
      </w:r>
      <w:r>
        <w:rPr>
          <w:bCs/>
          <w:color w:val="000000" w:themeColor="text1"/>
        </w:rPr>
        <w:t>’s</w:t>
      </w:r>
      <w:proofErr w:type="spellEnd"/>
      <w:r>
        <w:rPr>
          <w:bCs/>
          <w:color w:val="000000" w:themeColor="text1"/>
        </w:rPr>
        <w:t xml:space="preserve"> Vehicle Emissions Mapping Tool </w:t>
      </w:r>
      <w:hyperlink r:id="rId1" w:history="1">
        <w:r w:rsidRPr="00981CFD">
          <w:rPr>
            <w:rStyle w:val="Hyperlink"/>
            <w:bCs/>
          </w:rPr>
          <w:t>https://www.nzta.govt.nz/roads-and-rail/highways-information-portal/technical-disciplines/air-quality-climate/planning-and-assessment/vehicle-emissions-mapping-tool/</w:t>
        </w:r>
      </w:hyperlink>
      <w:r>
        <w:rPr>
          <w:bCs/>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E0FBB" w14:textId="77777777" w:rsidR="00917C8F" w:rsidRDefault="00917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9D543" w14:textId="2BEA0B13" w:rsidR="00E74640" w:rsidRPr="00A209EA" w:rsidRDefault="009749AB" w:rsidP="009749AB">
    <w:pPr>
      <w:pStyle w:val="Header"/>
      <w:tabs>
        <w:tab w:val="clear" w:pos="4513"/>
        <w:tab w:val="clear" w:pos="9026"/>
        <w:tab w:val="center" w:pos="0"/>
        <w:tab w:val="right" w:pos="10466"/>
      </w:tabs>
      <w:ind w:hanging="567"/>
      <w:rPr>
        <w:b/>
      </w:rPr>
    </w:pPr>
    <w:r>
      <w:rPr>
        <w:bCs/>
        <w:noProof/>
        <w:color w:val="000000" w:themeColor="text1"/>
        <w:lang w:eastAsia="en-NZ"/>
      </w:rPr>
      <w:drawing>
        <wp:inline distT="0" distB="0" distL="0" distR="0" wp14:anchorId="75270656" wp14:editId="752B018F">
          <wp:extent cx="2677229" cy="973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logo_H_col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090" cy="98807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F167C" w14:textId="77777777" w:rsidR="00917C8F" w:rsidRDefault="00917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C79"/>
    <w:multiLevelType w:val="hybridMultilevel"/>
    <w:tmpl w:val="4900FB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3C6E1D"/>
    <w:multiLevelType w:val="hybridMultilevel"/>
    <w:tmpl w:val="1F0C613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BF5559F"/>
    <w:multiLevelType w:val="hybridMultilevel"/>
    <w:tmpl w:val="DA78DE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16A3DC8"/>
    <w:multiLevelType w:val="hybridMultilevel"/>
    <w:tmpl w:val="9BC6A36A"/>
    <w:lvl w:ilvl="0" w:tplc="B434E5AC">
      <w:start w:val="1"/>
      <w:numFmt w:val="bullet"/>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2F3822"/>
    <w:multiLevelType w:val="hybridMultilevel"/>
    <w:tmpl w:val="E370FC44"/>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5" w15:restartNumberingAfterBreak="0">
    <w:nsid w:val="147622AA"/>
    <w:multiLevelType w:val="hybridMultilevel"/>
    <w:tmpl w:val="2DE07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4D4370C"/>
    <w:multiLevelType w:val="hybridMultilevel"/>
    <w:tmpl w:val="1AFA2D62"/>
    <w:lvl w:ilvl="0" w:tplc="14090001">
      <w:start w:val="1"/>
      <w:numFmt w:val="bullet"/>
      <w:lvlText w:val=""/>
      <w:lvlJc w:val="left"/>
      <w:pPr>
        <w:ind w:left="778" w:hanging="360"/>
      </w:pPr>
      <w:rPr>
        <w:rFonts w:ascii="Symbol" w:hAnsi="Symbol" w:hint="default"/>
      </w:rPr>
    </w:lvl>
    <w:lvl w:ilvl="1" w:tplc="14090003" w:tentative="1">
      <w:start w:val="1"/>
      <w:numFmt w:val="bullet"/>
      <w:lvlText w:val="o"/>
      <w:lvlJc w:val="left"/>
      <w:pPr>
        <w:ind w:left="1498" w:hanging="360"/>
      </w:pPr>
      <w:rPr>
        <w:rFonts w:ascii="Courier New" w:hAnsi="Courier New" w:cs="Courier New" w:hint="default"/>
      </w:rPr>
    </w:lvl>
    <w:lvl w:ilvl="2" w:tplc="14090005" w:tentative="1">
      <w:start w:val="1"/>
      <w:numFmt w:val="bullet"/>
      <w:lvlText w:val=""/>
      <w:lvlJc w:val="left"/>
      <w:pPr>
        <w:ind w:left="2218" w:hanging="360"/>
      </w:pPr>
      <w:rPr>
        <w:rFonts w:ascii="Wingdings" w:hAnsi="Wingdings" w:hint="default"/>
      </w:rPr>
    </w:lvl>
    <w:lvl w:ilvl="3" w:tplc="14090001" w:tentative="1">
      <w:start w:val="1"/>
      <w:numFmt w:val="bullet"/>
      <w:lvlText w:val=""/>
      <w:lvlJc w:val="left"/>
      <w:pPr>
        <w:ind w:left="2938" w:hanging="360"/>
      </w:pPr>
      <w:rPr>
        <w:rFonts w:ascii="Symbol" w:hAnsi="Symbol" w:hint="default"/>
      </w:rPr>
    </w:lvl>
    <w:lvl w:ilvl="4" w:tplc="14090003" w:tentative="1">
      <w:start w:val="1"/>
      <w:numFmt w:val="bullet"/>
      <w:lvlText w:val="o"/>
      <w:lvlJc w:val="left"/>
      <w:pPr>
        <w:ind w:left="3658" w:hanging="360"/>
      </w:pPr>
      <w:rPr>
        <w:rFonts w:ascii="Courier New" w:hAnsi="Courier New" w:cs="Courier New" w:hint="default"/>
      </w:rPr>
    </w:lvl>
    <w:lvl w:ilvl="5" w:tplc="14090005" w:tentative="1">
      <w:start w:val="1"/>
      <w:numFmt w:val="bullet"/>
      <w:lvlText w:val=""/>
      <w:lvlJc w:val="left"/>
      <w:pPr>
        <w:ind w:left="4378" w:hanging="360"/>
      </w:pPr>
      <w:rPr>
        <w:rFonts w:ascii="Wingdings" w:hAnsi="Wingdings" w:hint="default"/>
      </w:rPr>
    </w:lvl>
    <w:lvl w:ilvl="6" w:tplc="14090001" w:tentative="1">
      <w:start w:val="1"/>
      <w:numFmt w:val="bullet"/>
      <w:lvlText w:val=""/>
      <w:lvlJc w:val="left"/>
      <w:pPr>
        <w:ind w:left="5098" w:hanging="360"/>
      </w:pPr>
      <w:rPr>
        <w:rFonts w:ascii="Symbol" w:hAnsi="Symbol" w:hint="default"/>
      </w:rPr>
    </w:lvl>
    <w:lvl w:ilvl="7" w:tplc="14090003" w:tentative="1">
      <w:start w:val="1"/>
      <w:numFmt w:val="bullet"/>
      <w:lvlText w:val="o"/>
      <w:lvlJc w:val="left"/>
      <w:pPr>
        <w:ind w:left="5818" w:hanging="360"/>
      </w:pPr>
      <w:rPr>
        <w:rFonts w:ascii="Courier New" w:hAnsi="Courier New" w:cs="Courier New" w:hint="default"/>
      </w:rPr>
    </w:lvl>
    <w:lvl w:ilvl="8" w:tplc="14090005" w:tentative="1">
      <w:start w:val="1"/>
      <w:numFmt w:val="bullet"/>
      <w:lvlText w:val=""/>
      <w:lvlJc w:val="left"/>
      <w:pPr>
        <w:ind w:left="6538" w:hanging="360"/>
      </w:pPr>
      <w:rPr>
        <w:rFonts w:ascii="Wingdings" w:hAnsi="Wingdings" w:hint="default"/>
      </w:rPr>
    </w:lvl>
  </w:abstractNum>
  <w:abstractNum w:abstractNumId="7" w15:restartNumberingAfterBreak="0">
    <w:nsid w:val="15CC7026"/>
    <w:multiLevelType w:val="hybridMultilevel"/>
    <w:tmpl w:val="751A0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6711604"/>
    <w:multiLevelType w:val="hybridMultilevel"/>
    <w:tmpl w:val="96246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775356"/>
    <w:multiLevelType w:val="hybridMultilevel"/>
    <w:tmpl w:val="4A88D9F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0" w15:restartNumberingAfterBreak="0">
    <w:nsid w:val="1A2B139B"/>
    <w:multiLevelType w:val="hybridMultilevel"/>
    <w:tmpl w:val="9E2EBD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0504CF2"/>
    <w:multiLevelType w:val="hybridMultilevel"/>
    <w:tmpl w:val="4948D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131537"/>
    <w:multiLevelType w:val="hybridMultilevel"/>
    <w:tmpl w:val="08589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41F6410"/>
    <w:multiLevelType w:val="hybridMultilevel"/>
    <w:tmpl w:val="1B0AC5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0462785"/>
    <w:multiLevelType w:val="hybridMultilevel"/>
    <w:tmpl w:val="AF2829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3865FF5"/>
    <w:multiLevelType w:val="hybridMultilevel"/>
    <w:tmpl w:val="2842DB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245881"/>
    <w:multiLevelType w:val="hybridMultilevel"/>
    <w:tmpl w:val="14B4A0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4A486A"/>
    <w:multiLevelType w:val="hybridMultilevel"/>
    <w:tmpl w:val="B562DDF4"/>
    <w:lvl w:ilvl="0" w:tplc="14090001">
      <w:start w:val="1"/>
      <w:numFmt w:val="bullet"/>
      <w:lvlText w:val=""/>
      <w:lvlJc w:val="left"/>
      <w:pPr>
        <w:ind w:left="773" w:hanging="360"/>
      </w:pPr>
      <w:rPr>
        <w:rFonts w:ascii="Symbol" w:hAnsi="Symbol"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18" w15:restartNumberingAfterBreak="0">
    <w:nsid w:val="3820697E"/>
    <w:multiLevelType w:val="hybridMultilevel"/>
    <w:tmpl w:val="A972F5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DD25C2F"/>
    <w:multiLevelType w:val="hybridMultilevel"/>
    <w:tmpl w:val="9A1CB2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F0D0BB6"/>
    <w:multiLevelType w:val="hybridMultilevel"/>
    <w:tmpl w:val="0C30C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4902EA"/>
    <w:multiLevelType w:val="hybridMultilevel"/>
    <w:tmpl w:val="EFBA3B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2C2462F"/>
    <w:multiLevelType w:val="hybridMultilevel"/>
    <w:tmpl w:val="082AA302"/>
    <w:lvl w:ilvl="0" w:tplc="15049278">
      <w:start w:val="1"/>
      <w:numFmt w:val="bullet"/>
      <w:pStyle w:val="Intablebulletpoints"/>
      <w:lvlText w:val=""/>
      <w:lvlJc w:val="left"/>
      <w:pPr>
        <w:ind w:left="720" w:hanging="360"/>
      </w:pPr>
      <w:rPr>
        <w:rFonts w:ascii="Symbol" w:hAnsi="Symbol" w:hint="default"/>
        <w:sz w:val="20"/>
        <w:szCs w:val="20"/>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46C24D6E"/>
    <w:multiLevelType w:val="hybridMultilevel"/>
    <w:tmpl w:val="8C4479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82168BE"/>
    <w:multiLevelType w:val="hybridMultilevel"/>
    <w:tmpl w:val="089821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082FF3"/>
    <w:multiLevelType w:val="hybridMultilevel"/>
    <w:tmpl w:val="51F81B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DD9390B"/>
    <w:multiLevelType w:val="hybridMultilevel"/>
    <w:tmpl w:val="20AA5E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11F4BC4"/>
    <w:multiLevelType w:val="hybridMultilevel"/>
    <w:tmpl w:val="D7BE282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8" w15:restartNumberingAfterBreak="0">
    <w:nsid w:val="51EB7401"/>
    <w:multiLevelType w:val="hybridMultilevel"/>
    <w:tmpl w:val="3028E4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30C2CFE"/>
    <w:multiLevelType w:val="hybridMultilevel"/>
    <w:tmpl w:val="8F20525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61D519F"/>
    <w:multiLevelType w:val="hybridMultilevel"/>
    <w:tmpl w:val="0764F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323EF9"/>
    <w:multiLevelType w:val="multilevel"/>
    <w:tmpl w:val="DD604092"/>
    <w:lvl w:ilvl="0">
      <w:start w:val="1"/>
      <w:numFmt w:val="decimal"/>
      <w:pStyle w:val="MOTLevel1NumberedParagraph"/>
      <w:lvlText w:val="%1."/>
      <w:lvlJc w:val="left"/>
      <w:pPr>
        <w:tabs>
          <w:tab w:val="num" w:pos="709"/>
        </w:tabs>
        <w:ind w:left="709" w:hanging="709"/>
      </w:pPr>
      <w:rPr>
        <w:rFonts w:ascii="Arial" w:hAnsi="Arial" w:hint="default"/>
        <w:sz w:val="22"/>
      </w:rPr>
    </w:lvl>
    <w:lvl w:ilvl="1">
      <w:start w:val="1"/>
      <w:numFmt w:val="decimal"/>
      <w:pStyle w:val="MOTLevel2NumberedParagraph"/>
      <w:lvlText w:val="%1.%2."/>
      <w:lvlJc w:val="left"/>
      <w:pPr>
        <w:tabs>
          <w:tab w:val="num" w:pos="1418"/>
        </w:tabs>
        <w:ind w:left="1418" w:hanging="709"/>
      </w:pPr>
      <w:rPr>
        <w:rFonts w:hint="default"/>
      </w:rPr>
    </w:lvl>
    <w:lvl w:ilvl="2">
      <w:start w:val="1"/>
      <w:numFmt w:val="decimal"/>
      <w:pStyle w:val="MOTLevel3NumberedParagraph"/>
      <w:lvlText w:val="%1.%2.%3."/>
      <w:lvlJc w:val="left"/>
      <w:pPr>
        <w:tabs>
          <w:tab w:val="num" w:pos="2126"/>
        </w:tabs>
        <w:ind w:left="2126" w:hanging="708"/>
      </w:pPr>
      <w:rPr>
        <w:rFonts w:hint="default"/>
      </w:rPr>
    </w:lvl>
    <w:lvl w:ilvl="3">
      <w:start w:val="1"/>
      <w:numFmt w:val="lowerLetter"/>
      <w:pStyle w:val="MOTLevel4NumberedParagraph"/>
      <w:lvlText w:val="(%4)"/>
      <w:lvlJc w:val="left"/>
      <w:pPr>
        <w:tabs>
          <w:tab w:val="num" w:pos="2835"/>
        </w:tabs>
        <w:ind w:left="2835" w:hanging="709"/>
      </w:pPr>
      <w:rPr>
        <w:rFonts w:hint="default"/>
      </w:rPr>
    </w:lvl>
    <w:lvl w:ilvl="4">
      <w:start w:val="1"/>
      <w:numFmt w:val="none"/>
      <w:suff w:val="nothing"/>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8B77518"/>
    <w:multiLevelType w:val="hybridMultilevel"/>
    <w:tmpl w:val="ED1E52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A7F5E5A"/>
    <w:multiLevelType w:val="hybridMultilevel"/>
    <w:tmpl w:val="2EB43440"/>
    <w:lvl w:ilvl="0" w:tplc="F2344652">
      <w:numFmt w:val="bullet"/>
      <w:lvlText w:val="-"/>
      <w:lvlJc w:val="left"/>
      <w:pPr>
        <w:ind w:left="773" w:hanging="360"/>
      </w:pPr>
      <w:rPr>
        <w:rFonts w:ascii="Calibri" w:eastAsiaTheme="minorHAnsi" w:hAnsi="Calibri" w:cstheme="minorHAnsi" w:hint="default"/>
      </w:rPr>
    </w:lvl>
    <w:lvl w:ilvl="1" w:tplc="14090003" w:tentative="1">
      <w:start w:val="1"/>
      <w:numFmt w:val="bullet"/>
      <w:lvlText w:val="o"/>
      <w:lvlJc w:val="left"/>
      <w:pPr>
        <w:ind w:left="1493" w:hanging="360"/>
      </w:pPr>
      <w:rPr>
        <w:rFonts w:ascii="Courier New" w:hAnsi="Courier New" w:cs="Courier New" w:hint="default"/>
      </w:rPr>
    </w:lvl>
    <w:lvl w:ilvl="2" w:tplc="14090005" w:tentative="1">
      <w:start w:val="1"/>
      <w:numFmt w:val="bullet"/>
      <w:lvlText w:val=""/>
      <w:lvlJc w:val="left"/>
      <w:pPr>
        <w:ind w:left="2213" w:hanging="360"/>
      </w:pPr>
      <w:rPr>
        <w:rFonts w:ascii="Wingdings" w:hAnsi="Wingdings" w:hint="default"/>
      </w:rPr>
    </w:lvl>
    <w:lvl w:ilvl="3" w:tplc="14090001" w:tentative="1">
      <w:start w:val="1"/>
      <w:numFmt w:val="bullet"/>
      <w:lvlText w:val=""/>
      <w:lvlJc w:val="left"/>
      <w:pPr>
        <w:ind w:left="2933" w:hanging="360"/>
      </w:pPr>
      <w:rPr>
        <w:rFonts w:ascii="Symbol" w:hAnsi="Symbol" w:hint="default"/>
      </w:rPr>
    </w:lvl>
    <w:lvl w:ilvl="4" w:tplc="14090003" w:tentative="1">
      <w:start w:val="1"/>
      <w:numFmt w:val="bullet"/>
      <w:lvlText w:val="o"/>
      <w:lvlJc w:val="left"/>
      <w:pPr>
        <w:ind w:left="3653" w:hanging="360"/>
      </w:pPr>
      <w:rPr>
        <w:rFonts w:ascii="Courier New" w:hAnsi="Courier New" w:cs="Courier New" w:hint="default"/>
      </w:rPr>
    </w:lvl>
    <w:lvl w:ilvl="5" w:tplc="14090005" w:tentative="1">
      <w:start w:val="1"/>
      <w:numFmt w:val="bullet"/>
      <w:lvlText w:val=""/>
      <w:lvlJc w:val="left"/>
      <w:pPr>
        <w:ind w:left="4373" w:hanging="360"/>
      </w:pPr>
      <w:rPr>
        <w:rFonts w:ascii="Wingdings" w:hAnsi="Wingdings" w:hint="default"/>
      </w:rPr>
    </w:lvl>
    <w:lvl w:ilvl="6" w:tplc="14090001" w:tentative="1">
      <w:start w:val="1"/>
      <w:numFmt w:val="bullet"/>
      <w:lvlText w:val=""/>
      <w:lvlJc w:val="left"/>
      <w:pPr>
        <w:ind w:left="5093" w:hanging="360"/>
      </w:pPr>
      <w:rPr>
        <w:rFonts w:ascii="Symbol" w:hAnsi="Symbol" w:hint="default"/>
      </w:rPr>
    </w:lvl>
    <w:lvl w:ilvl="7" w:tplc="14090003" w:tentative="1">
      <w:start w:val="1"/>
      <w:numFmt w:val="bullet"/>
      <w:lvlText w:val="o"/>
      <w:lvlJc w:val="left"/>
      <w:pPr>
        <w:ind w:left="5813" w:hanging="360"/>
      </w:pPr>
      <w:rPr>
        <w:rFonts w:ascii="Courier New" w:hAnsi="Courier New" w:cs="Courier New" w:hint="default"/>
      </w:rPr>
    </w:lvl>
    <w:lvl w:ilvl="8" w:tplc="14090005" w:tentative="1">
      <w:start w:val="1"/>
      <w:numFmt w:val="bullet"/>
      <w:lvlText w:val=""/>
      <w:lvlJc w:val="left"/>
      <w:pPr>
        <w:ind w:left="6533" w:hanging="360"/>
      </w:pPr>
      <w:rPr>
        <w:rFonts w:ascii="Wingdings" w:hAnsi="Wingdings" w:hint="default"/>
      </w:rPr>
    </w:lvl>
  </w:abstractNum>
  <w:abstractNum w:abstractNumId="34" w15:restartNumberingAfterBreak="0">
    <w:nsid w:val="6CF70201"/>
    <w:multiLevelType w:val="hybridMultilevel"/>
    <w:tmpl w:val="FC22291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68470C0"/>
    <w:multiLevelType w:val="hybridMultilevel"/>
    <w:tmpl w:val="AFE08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CB5029B"/>
    <w:multiLevelType w:val="hybridMultilevel"/>
    <w:tmpl w:val="5080A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14"/>
  </w:num>
  <w:num w:numId="4">
    <w:abstractNumId w:val="7"/>
  </w:num>
  <w:num w:numId="5">
    <w:abstractNumId w:val="3"/>
  </w:num>
  <w:num w:numId="6">
    <w:abstractNumId w:val="29"/>
  </w:num>
  <w:num w:numId="7">
    <w:abstractNumId w:val="20"/>
  </w:num>
  <w:num w:numId="8">
    <w:abstractNumId w:val="26"/>
  </w:num>
  <w:num w:numId="9">
    <w:abstractNumId w:val="11"/>
  </w:num>
  <w:num w:numId="10">
    <w:abstractNumId w:val="10"/>
  </w:num>
  <w:num w:numId="11">
    <w:abstractNumId w:val="4"/>
  </w:num>
  <w:num w:numId="12">
    <w:abstractNumId w:val="33"/>
  </w:num>
  <w:num w:numId="13">
    <w:abstractNumId w:val="17"/>
  </w:num>
  <w:num w:numId="14">
    <w:abstractNumId w:val="18"/>
  </w:num>
  <w:num w:numId="15">
    <w:abstractNumId w:val="5"/>
  </w:num>
  <w:num w:numId="16">
    <w:abstractNumId w:val="30"/>
  </w:num>
  <w:num w:numId="17">
    <w:abstractNumId w:val="36"/>
  </w:num>
  <w:num w:numId="18">
    <w:abstractNumId w:val="35"/>
  </w:num>
  <w:num w:numId="19">
    <w:abstractNumId w:val="23"/>
  </w:num>
  <w:num w:numId="20">
    <w:abstractNumId w:val="34"/>
  </w:num>
  <w:num w:numId="21">
    <w:abstractNumId w:val="12"/>
  </w:num>
  <w:num w:numId="22">
    <w:abstractNumId w:val="9"/>
  </w:num>
  <w:num w:numId="23">
    <w:abstractNumId w:val="21"/>
  </w:num>
  <w:num w:numId="24">
    <w:abstractNumId w:val="15"/>
  </w:num>
  <w:num w:numId="25">
    <w:abstractNumId w:val="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6"/>
  </w:num>
  <w:num w:numId="29">
    <w:abstractNumId w:val="32"/>
  </w:num>
  <w:num w:numId="30">
    <w:abstractNumId w:val="13"/>
  </w:num>
  <w:num w:numId="31">
    <w:abstractNumId w:val="28"/>
  </w:num>
  <w:num w:numId="32">
    <w:abstractNumId w:val="25"/>
  </w:num>
  <w:num w:numId="33">
    <w:abstractNumId w:val="16"/>
  </w:num>
  <w:num w:numId="34">
    <w:abstractNumId w:val="0"/>
  </w:num>
  <w:num w:numId="35">
    <w:abstractNumId w:val="2"/>
  </w:num>
  <w:num w:numId="36">
    <w:abstractNumId w:val="1"/>
  </w:num>
  <w:num w:numId="37">
    <w:abstractNumId w:val="24"/>
  </w:num>
  <w:num w:numId="38">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D19"/>
    <w:rsid w:val="00001904"/>
    <w:rsid w:val="00002ABF"/>
    <w:rsid w:val="00002F51"/>
    <w:rsid w:val="0000389F"/>
    <w:rsid w:val="00005219"/>
    <w:rsid w:val="00007CB4"/>
    <w:rsid w:val="00011087"/>
    <w:rsid w:val="00012393"/>
    <w:rsid w:val="000132C0"/>
    <w:rsid w:val="000135BF"/>
    <w:rsid w:val="0001526B"/>
    <w:rsid w:val="00016127"/>
    <w:rsid w:val="00016BED"/>
    <w:rsid w:val="000175D5"/>
    <w:rsid w:val="00021E52"/>
    <w:rsid w:val="00022238"/>
    <w:rsid w:val="000228BB"/>
    <w:rsid w:val="00025332"/>
    <w:rsid w:val="0002653D"/>
    <w:rsid w:val="000277C1"/>
    <w:rsid w:val="000321A7"/>
    <w:rsid w:val="000325A5"/>
    <w:rsid w:val="00035923"/>
    <w:rsid w:val="00037AF0"/>
    <w:rsid w:val="0004352B"/>
    <w:rsid w:val="0004437E"/>
    <w:rsid w:val="00047005"/>
    <w:rsid w:val="000477E8"/>
    <w:rsid w:val="00047FE0"/>
    <w:rsid w:val="000510E3"/>
    <w:rsid w:val="00051439"/>
    <w:rsid w:val="000515E7"/>
    <w:rsid w:val="00053061"/>
    <w:rsid w:val="00053DAD"/>
    <w:rsid w:val="00054CB0"/>
    <w:rsid w:val="00056F60"/>
    <w:rsid w:val="0005782F"/>
    <w:rsid w:val="000620AC"/>
    <w:rsid w:val="000647BB"/>
    <w:rsid w:val="000661D4"/>
    <w:rsid w:val="00066863"/>
    <w:rsid w:val="000677C3"/>
    <w:rsid w:val="00071584"/>
    <w:rsid w:val="00071940"/>
    <w:rsid w:val="00071943"/>
    <w:rsid w:val="00071FC7"/>
    <w:rsid w:val="0007433C"/>
    <w:rsid w:val="00075117"/>
    <w:rsid w:val="00075261"/>
    <w:rsid w:val="00075614"/>
    <w:rsid w:val="000762F1"/>
    <w:rsid w:val="00076DB3"/>
    <w:rsid w:val="00081F85"/>
    <w:rsid w:val="0008255A"/>
    <w:rsid w:val="0008287F"/>
    <w:rsid w:val="00084BB3"/>
    <w:rsid w:val="000850C3"/>
    <w:rsid w:val="000902D3"/>
    <w:rsid w:val="00091BA2"/>
    <w:rsid w:val="000920A9"/>
    <w:rsid w:val="000938AD"/>
    <w:rsid w:val="00095031"/>
    <w:rsid w:val="000974C3"/>
    <w:rsid w:val="000A0D3C"/>
    <w:rsid w:val="000A264B"/>
    <w:rsid w:val="000A2B62"/>
    <w:rsid w:val="000A3BDC"/>
    <w:rsid w:val="000A45A4"/>
    <w:rsid w:val="000A4667"/>
    <w:rsid w:val="000A78A4"/>
    <w:rsid w:val="000B1AE1"/>
    <w:rsid w:val="000B4627"/>
    <w:rsid w:val="000C40CE"/>
    <w:rsid w:val="000C5E1F"/>
    <w:rsid w:val="000C6FC2"/>
    <w:rsid w:val="000C74AD"/>
    <w:rsid w:val="000C7834"/>
    <w:rsid w:val="000C7A01"/>
    <w:rsid w:val="000D13DA"/>
    <w:rsid w:val="000D1F13"/>
    <w:rsid w:val="000D32E1"/>
    <w:rsid w:val="000D540C"/>
    <w:rsid w:val="000D6306"/>
    <w:rsid w:val="000D7F39"/>
    <w:rsid w:val="000E06EB"/>
    <w:rsid w:val="000E3F96"/>
    <w:rsid w:val="000E5BF5"/>
    <w:rsid w:val="000E725F"/>
    <w:rsid w:val="000E7578"/>
    <w:rsid w:val="000E7B44"/>
    <w:rsid w:val="000F2551"/>
    <w:rsid w:val="000F4727"/>
    <w:rsid w:val="000F58E9"/>
    <w:rsid w:val="000F613B"/>
    <w:rsid w:val="000F676E"/>
    <w:rsid w:val="000F7083"/>
    <w:rsid w:val="00100E33"/>
    <w:rsid w:val="001046A0"/>
    <w:rsid w:val="00104A52"/>
    <w:rsid w:val="00104B7E"/>
    <w:rsid w:val="001062A1"/>
    <w:rsid w:val="00106DD5"/>
    <w:rsid w:val="00106E2B"/>
    <w:rsid w:val="00110D61"/>
    <w:rsid w:val="00110F14"/>
    <w:rsid w:val="00112EA5"/>
    <w:rsid w:val="001135DF"/>
    <w:rsid w:val="00113EC1"/>
    <w:rsid w:val="0011629D"/>
    <w:rsid w:val="00117412"/>
    <w:rsid w:val="00117A90"/>
    <w:rsid w:val="00121228"/>
    <w:rsid w:val="00122018"/>
    <w:rsid w:val="00123E1B"/>
    <w:rsid w:val="00127355"/>
    <w:rsid w:val="00127E08"/>
    <w:rsid w:val="001341A0"/>
    <w:rsid w:val="00134908"/>
    <w:rsid w:val="00135047"/>
    <w:rsid w:val="0013584C"/>
    <w:rsid w:val="00136B0E"/>
    <w:rsid w:val="001411E4"/>
    <w:rsid w:val="00143390"/>
    <w:rsid w:val="0014397A"/>
    <w:rsid w:val="00145280"/>
    <w:rsid w:val="00145501"/>
    <w:rsid w:val="001455C9"/>
    <w:rsid w:val="00145A89"/>
    <w:rsid w:val="00145B44"/>
    <w:rsid w:val="00146C7C"/>
    <w:rsid w:val="00151255"/>
    <w:rsid w:val="001514AC"/>
    <w:rsid w:val="00152AA8"/>
    <w:rsid w:val="00153452"/>
    <w:rsid w:val="001547D2"/>
    <w:rsid w:val="00154EA1"/>
    <w:rsid w:val="00160FEF"/>
    <w:rsid w:val="00166119"/>
    <w:rsid w:val="00167C8B"/>
    <w:rsid w:val="00170D8F"/>
    <w:rsid w:val="00173CC3"/>
    <w:rsid w:val="001745AF"/>
    <w:rsid w:val="00176392"/>
    <w:rsid w:val="0017673C"/>
    <w:rsid w:val="001769CA"/>
    <w:rsid w:val="0017788D"/>
    <w:rsid w:val="00184905"/>
    <w:rsid w:val="0018540D"/>
    <w:rsid w:val="001865E9"/>
    <w:rsid w:val="001874AF"/>
    <w:rsid w:val="001877A8"/>
    <w:rsid w:val="001916D1"/>
    <w:rsid w:val="001919E7"/>
    <w:rsid w:val="00191E77"/>
    <w:rsid w:val="00192B94"/>
    <w:rsid w:val="00194B81"/>
    <w:rsid w:val="00194FF9"/>
    <w:rsid w:val="001957FC"/>
    <w:rsid w:val="00196398"/>
    <w:rsid w:val="001A38DA"/>
    <w:rsid w:val="001A40D6"/>
    <w:rsid w:val="001A487B"/>
    <w:rsid w:val="001A7CFD"/>
    <w:rsid w:val="001B0222"/>
    <w:rsid w:val="001B445B"/>
    <w:rsid w:val="001B4A31"/>
    <w:rsid w:val="001B4B92"/>
    <w:rsid w:val="001B5106"/>
    <w:rsid w:val="001C03C7"/>
    <w:rsid w:val="001C2202"/>
    <w:rsid w:val="001C4966"/>
    <w:rsid w:val="001C5278"/>
    <w:rsid w:val="001C6B49"/>
    <w:rsid w:val="001D1217"/>
    <w:rsid w:val="001D2D64"/>
    <w:rsid w:val="001D7197"/>
    <w:rsid w:val="001E1130"/>
    <w:rsid w:val="001E1734"/>
    <w:rsid w:val="001E2F22"/>
    <w:rsid w:val="001E36A3"/>
    <w:rsid w:val="001E4D71"/>
    <w:rsid w:val="001E7D63"/>
    <w:rsid w:val="001F1773"/>
    <w:rsid w:val="001F3C66"/>
    <w:rsid w:val="001F4E2D"/>
    <w:rsid w:val="001F5067"/>
    <w:rsid w:val="001F75FB"/>
    <w:rsid w:val="001F783C"/>
    <w:rsid w:val="002006F5"/>
    <w:rsid w:val="0020251C"/>
    <w:rsid w:val="002025D7"/>
    <w:rsid w:val="002037FC"/>
    <w:rsid w:val="0020385A"/>
    <w:rsid w:val="00204CCE"/>
    <w:rsid w:val="002053EA"/>
    <w:rsid w:val="00207634"/>
    <w:rsid w:val="00207F13"/>
    <w:rsid w:val="00210047"/>
    <w:rsid w:val="002105DB"/>
    <w:rsid w:val="0021186C"/>
    <w:rsid w:val="002120FC"/>
    <w:rsid w:val="00214E67"/>
    <w:rsid w:val="002176E4"/>
    <w:rsid w:val="0022081D"/>
    <w:rsid w:val="00224CEE"/>
    <w:rsid w:val="00225860"/>
    <w:rsid w:val="0022645E"/>
    <w:rsid w:val="0022647D"/>
    <w:rsid w:val="00226CC9"/>
    <w:rsid w:val="0022718E"/>
    <w:rsid w:val="00230D8F"/>
    <w:rsid w:val="002328A8"/>
    <w:rsid w:val="002328E2"/>
    <w:rsid w:val="002356F1"/>
    <w:rsid w:val="00236ECC"/>
    <w:rsid w:val="002372C4"/>
    <w:rsid w:val="00242F96"/>
    <w:rsid w:val="00244B28"/>
    <w:rsid w:val="002467E4"/>
    <w:rsid w:val="00250D68"/>
    <w:rsid w:val="002519BD"/>
    <w:rsid w:val="00251A59"/>
    <w:rsid w:val="00253F0F"/>
    <w:rsid w:val="00254E92"/>
    <w:rsid w:val="0025597D"/>
    <w:rsid w:val="00256EBC"/>
    <w:rsid w:val="002573AD"/>
    <w:rsid w:val="00260D07"/>
    <w:rsid w:val="00262CF7"/>
    <w:rsid w:val="00266174"/>
    <w:rsid w:val="00266D26"/>
    <w:rsid w:val="00271D90"/>
    <w:rsid w:val="00272ADE"/>
    <w:rsid w:val="00272CC4"/>
    <w:rsid w:val="0027305E"/>
    <w:rsid w:val="00273C74"/>
    <w:rsid w:val="00274066"/>
    <w:rsid w:val="002760D0"/>
    <w:rsid w:val="00276698"/>
    <w:rsid w:val="00277550"/>
    <w:rsid w:val="00280DB6"/>
    <w:rsid w:val="00281CAA"/>
    <w:rsid w:val="00282E20"/>
    <w:rsid w:val="00283FBF"/>
    <w:rsid w:val="00290064"/>
    <w:rsid w:val="00291014"/>
    <w:rsid w:val="00292DB4"/>
    <w:rsid w:val="002946A7"/>
    <w:rsid w:val="002948D4"/>
    <w:rsid w:val="00295904"/>
    <w:rsid w:val="002A106C"/>
    <w:rsid w:val="002A2D3C"/>
    <w:rsid w:val="002A7464"/>
    <w:rsid w:val="002A76BA"/>
    <w:rsid w:val="002B1B5C"/>
    <w:rsid w:val="002B2494"/>
    <w:rsid w:val="002B2E38"/>
    <w:rsid w:val="002B4432"/>
    <w:rsid w:val="002B48E5"/>
    <w:rsid w:val="002C40C6"/>
    <w:rsid w:val="002C51C1"/>
    <w:rsid w:val="002C74F4"/>
    <w:rsid w:val="002D27BA"/>
    <w:rsid w:val="002D335C"/>
    <w:rsid w:val="002D3D88"/>
    <w:rsid w:val="002D40C6"/>
    <w:rsid w:val="002D5816"/>
    <w:rsid w:val="002D63A2"/>
    <w:rsid w:val="002D6407"/>
    <w:rsid w:val="002D7EC1"/>
    <w:rsid w:val="002E25F0"/>
    <w:rsid w:val="002E2B4D"/>
    <w:rsid w:val="002E316C"/>
    <w:rsid w:val="002E3988"/>
    <w:rsid w:val="002E3F8B"/>
    <w:rsid w:val="002E481A"/>
    <w:rsid w:val="002E4B0B"/>
    <w:rsid w:val="002E7150"/>
    <w:rsid w:val="002E7EC9"/>
    <w:rsid w:val="002F0CC3"/>
    <w:rsid w:val="002F52DF"/>
    <w:rsid w:val="002F6D83"/>
    <w:rsid w:val="002F7398"/>
    <w:rsid w:val="00300CC4"/>
    <w:rsid w:val="0030740F"/>
    <w:rsid w:val="003079C3"/>
    <w:rsid w:val="00310C73"/>
    <w:rsid w:val="00311420"/>
    <w:rsid w:val="0031186F"/>
    <w:rsid w:val="003134D3"/>
    <w:rsid w:val="00313B5F"/>
    <w:rsid w:val="00314813"/>
    <w:rsid w:val="00314D51"/>
    <w:rsid w:val="0031612A"/>
    <w:rsid w:val="00316413"/>
    <w:rsid w:val="003243C2"/>
    <w:rsid w:val="00324936"/>
    <w:rsid w:val="00326B6F"/>
    <w:rsid w:val="00327735"/>
    <w:rsid w:val="00330D0F"/>
    <w:rsid w:val="00330FD0"/>
    <w:rsid w:val="003320F3"/>
    <w:rsid w:val="00332EA6"/>
    <w:rsid w:val="00333062"/>
    <w:rsid w:val="0033334A"/>
    <w:rsid w:val="0033567C"/>
    <w:rsid w:val="0034073D"/>
    <w:rsid w:val="003423B4"/>
    <w:rsid w:val="00344A17"/>
    <w:rsid w:val="00345673"/>
    <w:rsid w:val="00346779"/>
    <w:rsid w:val="00346A39"/>
    <w:rsid w:val="003473A7"/>
    <w:rsid w:val="0035055C"/>
    <w:rsid w:val="00350B2D"/>
    <w:rsid w:val="00351B11"/>
    <w:rsid w:val="0035225A"/>
    <w:rsid w:val="003522B2"/>
    <w:rsid w:val="00352A20"/>
    <w:rsid w:val="00352CBD"/>
    <w:rsid w:val="0035414C"/>
    <w:rsid w:val="00357C3E"/>
    <w:rsid w:val="00361C31"/>
    <w:rsid w:val="00362099"/>
    <w:rsid w:val="00362D3A"/>
    <w:rsid w:val="00363197"/>
    <w:rsid w:val="00363FBD"/>
    <w:rsid w:val="00364E97"/>
    <w:rsid w:val="003657B2"/>
    <w:rsid w:val="0036720B"/>
    <w:rsid w:val="00367225"/>
    <w:rsid w:val="0036753F"/>
    <w:rsid w:val="00367707"/>
    <w:rsid w:val="00371913"/>
    <w:rsid w:val="003721D6"/>
    <w:rsid w:val="00372CE9"/>
    <w:rsid w:val="00374551"/>
    <w:rsid w:val="00375121"/>
    <w:rsid w:val="0038093B"/>
    <w:rsid w:val="0039196C"/>
    <w:rsid w:val="00392484"/>
    <w:rsid w:val="003949F3"/>
    <w:rsid w:val="00396452"/>
    <w:rsid w:val="0039660E"/>
    <w:rsid w:val="00396930"/>
    <w:rsid w:val="0039772F"/>
    <w:rsid w:val="003A1D7B"/>
    <w:rsid w:val="003A1EEE"/>
    <w:rsid w:val="003A20BC"/>
    <w:rsid w:val="003A6C10"/>
    <w:rsid w:val="003B1E02"/>
    <w:rsid w:val="003B2070"/>
    <w:rsid w:val="003B2729"/>
    <w:rsid w:val="003B27E4"/>
    <w:rsid w:val="003B52A7"/>
    <w:rsid w:val="003B6CF1"/>
    <w:rsid w:val="003B7B00"/>
    <w:rsid w:val="003C1F66"/>
    <w:rsid w:val="003C3B59"/>
    <w:rsid w:val="003C5139"/>
    <w:rsid w:val="003C524F"/>
    <w:rsid w:val="003C6C06"/>
    <w:rsid w:val="003C7B01"/>
    <w:rsid w:val="003D0157"/>
    <w:rsid w:val="003D2098"/>
    <w:rsid w:val="003D32B5"/>
    <w:rsid w:val="003D3D09"/>
    <w:rsid w:val="003D71DB"/>
    <w:rsid w:val="003D7749"/>
    <w:rsid w:val="003E021D"/>
    <w:rsid w:val="003E2526"/>
    <w:rsid w:val="003E2807"/>
    <w:rsid w:val="003E48C5"/>
    <w:rsid w:val="003E4A7C"/>
    <w:rsid w:val="003F059D"/>
    <w:rsid w:val="003F32B4"/>
    <w:rsid w:val="0040191A"/>
    <w:rsid w:val="00403AF6"/>
    <w:rsid w:val="00405728"/>
    <w:rsid w:val="00406551"/>
    <w:rsid w:val="0040744E"/>
    <w:rsid w:val="00411C8C"/>
    <w:rsid w:val="00411CAD"/>
    <w:rsid w:val="004146D0"/>
    <w:rsid w:val="004158E9"/>
    <w:rsid w:val="004174BC"/>
    <w:rsid w:val="00417B15"/>
    <w:rsid w:val="0042156D"/>
    <w:rsid w:val="00421818"/>
    <w:rsid w:val="00423725"/>
    <w:rsid w:val="004237A8"/>
    <w:rsid w:val="00425DDB"/>
    <w:rsid w:val="004262DF"/>
    <w:rsid w:val="00427F88"/>
    <w:rsid w:val="00437D8A"/>
    <w:rsid w:val="00441425"/>
    <w:rsid w:val="00443EA9"/>
    <w:rsid w:val="00445B19"/>
    <w:rsid w:val="00447E56"/>
    <w:rsid w:val="0045109B"/>
    <w:rsid w:val="00452769"/>
    <w:rsid w:val="00452B93"/>
    <w:rsid w:val="00455F02"/>
    <w:rsid w:val="00456418"/>
    <w:rsid w:val="00456896"/>
    <w:rsid w:val="004576D6"/>
    <w:rsid w:val="00462C74"/>
    <w:rsid w:val="00464135"/>
    <w:rsid w:val="0046523F"/>
    <w:rsid w:val="0046603D"/>
    <w:rsid w:val="004748E8"/>
    <w:rsid w:val="00474ECF"/>
    <w:rsid w:val="0047593E"/>
    <w:rsid w:val="0048004E"/>
    <w:rsid w:val="00480144"/>
    <w:rsid w:val="00482596"/>
    <w:rsid w:val="00483732"/>
    <w:rsid w:val="0048580C"/>
    <w:rsid w:val="004876FA"/>
    <w:rsid w:val="00493138"/>
    <w:rsid w:val="00493A5F"/>
    <w:rsid w:val="00495BFA"/>
    <w:rsid w:val="00497251"/>
    <w:rsid w:val="0049759F"/>
    <w:rsid w:val="004A3E29"/>
    <w:rsid w:val="004A6596"/>
    <w:rsid w:val="004A6D84"/>
    <w:rsid w:val="004B093D"/>
    <w:rsid w:val="004B0C3F"/>
    <w:rsid w:val="004B0EDD"/>
    <w:rsid w:val="004B1C68"/>
    <w:rsid w:val="004B28E0"/>
    <w:rsid w:val="004B2CB4"/>
    <w:rsid w:val="004B2DEC"/>
    <w:rsid w:val="004B3699"/>
    <w:rsid w:val="004B4863"/>
    <w:rsid w:val="004B4F17"/>
    <w:rsid w:val="004B6B62"/>
    <w:rsid w:val="004C07AA"/>
    <w:rsid w:val="004C12C2"/>
    <w:rsid w:val="004C6619"/>
    <w:rsid w:val="004D0E28"/>
    <w:rsid w:val="004D2CB3"/>
    <w:rsid w:val="004D49FB"/>
    <w:rsid w:val="004D59BE"/>
    <w:rsid w:val="004D63F4"/>
    <w:rsid w:val="004E279D"/>
    <w:rsid w:val="004E5617"/>
    <w:rsid w:val="004E7045"/>
    <w:rsid w:val="004F01E6"/>
    <w:rsid w:val="004F091F"/>
    <w:rsid w:val="004F3053"/>
    <w:rsid w:val="004F3655"/>
    <w:rsid w:val="004F7E6E"/>
    <w:rsid w:val="00505425"/>
    <w:rsid w:val="0050642D"/>
    <w:rsid w:val="005072CE"/>
    <w:rsid w:val="00507A20"/>
    <w:rsid w:val="00513211"/>
    <w:rsid w:val="005164DB"/>
    <w:rsid w:val="0051673A"/>
    <w:rsid w:val="00516AC0"/>
    <w:rsid w:val="00521183"/>
    <w:rsid w:val="00522154"/>
    <w:rsid w:val="0052262F"/>
    <w:rsid w:val="00524B3C"/>
    <w:rsid w:val="00525368"/>
    <w:rsid w:val="00525630"/>
    <w:rsid w:val="00526AC8"/>
    <w:rsid w:val="00527469"/>
    <w:rsid w:val="00530CE6"/>
    <w:rsid w:val="0053174B"/>
    <w:rsid w:val="00533423"/>
    <w:rsid w:val="00534AAB"/>
    <w:rsid w:val="00535768"/>
    <w:rsid w:val="0053583C"/>
    <w:rsid w:val="00537493"/>
    <w:rsid w:val="00537954"/>
    <w:rsid w:val="00542090"/>
    <w:rsid w:val="00543256"/>
    <w:rsid w:val="00546B85"/>
    <w:rsid w:val="00547255"/>
    <w:rsid w:val="005502B1"/>
    <w:rsid w:val="00551C5D"/>
    <w:rsid w:val="00556FE4"/>
    <w:rsid w:val="0055750E"/>
    <w:rsid w:val="00560367"/>
    <w:rsid w:val="00561EBB"/>
    <w:rsid w:val="005639B1"/>
    <w:rsid w:val="0056770D"/>
    <w:rsid w:val="00567EF3"/>
    <w:rsid w:val="00570C81"/>
    <w:rsid w:val="005723FB"/>
    <w:rsid w:val="00572CF3"/>
    <w:rsid w:val="00573680"/>
    <w:rsid w:val="005765A2"/>
    <w:rsid w:val="00582043"/>
    <w:rsid w:val="0058257A"/>
    <w:rsid w:val="00582E64"/>
    <w:rsid w:val="00585911"/>
    <w:rsid w:val="005912CE"/>
    <w:rsid w:val="005913DB"/>
    <w:rsid w:val="00591D52"/>
    <w:rsid w:val="00593C6C"/>
    <w:rsid w:val="00595663"/>
    <w:rsid w:val="005960A5"/>
    <w:rsid w:val="005A3775"/>
    <w:rsid w:val="005A5F19"/>
    <w:rsid w:val="005B174D"/>
    <w:rsid w:val="005B207C"/>
    <w:rsid w:val="005C027B"/>
    <w:rsid w:val="005C24C0"/>
    <w:rsid w:val="005C4C99"/>
    <w:rsid w:val="005C4F74"/>
    <w:rsid w:val="005C6744"/>
    <w:rsid w:val="005C6D60"/>
    <w:rsid w:val="005C6DB9"/>
    <w:rsid w:val="005C6EC0"/>
    <w:rsid w:val="005C6F8E"/>
    <w:rsid w:val="005D1148"/>
    <w:rsid w:val="005D1BBB"/>
    <w:rsid w:val="005D1ED0"/>
    <w:rsid w:val="005D5D5D"/>
    <w:rsid w:val="005E129C"/>
    <w:rsid w:val="005E3CF3"/>
    <w:rsid w:val="005E593E"/>
    <w:rsid w:val="005E6EE2"/>
    <w:rsid w:val="005F0390"/>
    <w:rsid w:val="005F3650"/>
    <w:rsid w:val="005F385E"/>
    <w:rsid w:val="005F4FA0"/>
    <w:rsid w:val="005F6675"/>
    <w:rsid w:val="005F78C6"/>
    <w:rsid w:val="00600A17"/>
    <w:rsid w:val="00601D6A"/>
    <w:rsid w:val="00602CB6"/>
    <w:rsid w:val="00603A6B"/>
    <w:rsid w:val="0061098E"/>
    <w:rsid w:val="0061188D"/>
    <w:rsid w:val="00611FDC"/>
    <w:rsid w:val="00614765"/>
    <w:rsid w:val="0061562D"/>
    <w:rsid w:val="0061676D"/>
    <w:rsid w:val="006170F4"/>
    <w:rsid w:val="00620A72"/>
    <w:rsid w:val="0062145A"/>
    <w:rsid w:val="0062376B"/>
    <w:rsid w:val="00623E84"/>
    <w:rsid w:val="00624393"/>
    <w:rsid w:val="00626802"/>
    <w:rsid w:val="00627040"/>
    <w:rsid w:val="006273DF"/>
    <w:rsid w:val="00631862"/>
    <w:rsid w:val="00632A94"/>
    <w:rsid w:val="00632D8B"/>
    <w:rsid w:val="00633342"/>
    <w:rsid w:val="00633CBE"/>
    <w:rsid w:val="00634868"/>
    <w:rsid w:val="00634BCD"/>
    <w:rsid w:val="00637367"/>
    <w:rsid w:val="006406E0"/>
    <w:rsid w:val="00641FF1"/>
    <w:rsid w:val="0064341A"/>
    <w:rsid w:val="00643985"/>
    <w:rsid w:val="006439F4"/>
    <w:rsid w:val="00646D63"/>
    <w:rsid w:val="0064701C"/>
    <w:rsid w:val="006470F1"/>
    <w:rsid w:val="00650C7E"/>
    <w:rsid w:val="006521FC"/>
    <w:rsid w:val="00654D4F"/>
    <w:rsid w:val="0065501B"/>
    <w:rsid w:val="00657267"/>
    <w:rsid w:val="00660A48"/>
    <w:rsid w:val="00661944"/>
    <w:rsid w:val="00661F4A"/>
    <w:rsid w:val="00664585"/>
    <w:rsid w:val="00664EF4"/>
    <w:rsid w:val="00667243"/>
    <w:rsid w:val="00667BCB"/>
    <w:rsid w:val="00667EB1"/>
    <w:rsid w:val="00670C9B"/>
    <w:rsid w:val="006714C2"/>
    <w:rsid w:val="00673D25"/>
    <w:rsid w:val="00674E35"/>
    <w:rsid w:val="00675DD4"/>
    <w:rsid w:val="006773C4"/>
    <w:rsid w:val="00680755"/>
    <w:rsid w:val="0068365A"/>
    <w:rsid w:val="00686109"/>
    <w:rsid w:val="00686AF7"/>
    <w:rsid w:val="00687278"/>
    <w:rsid w:val="00690F31"/>
    <w:rsid w:val="006911CD"/>
    <w:rsid w:val="0069223F"/>
    <w:rsid w:val="00693C77"/>
    <w:rsid w:val="00694F61"/>
    <w:rsid w:val="00696516"/>
    <w:rsid w:val="00696C19"/>
    <w:rsid w:val="00697AD7"/>
    <w:rsid w:val="006A0463"/>
    <w:rsid w:val="006A1ED3"/>
    <w:rsid w:val="006A20B0"/>
    <w:rsid w:val="006A4ABE"/>
    <w:rsid w:val="006A790D"/>
    <w:rsid w:val="006B002D"/>
    <w:rsid w:val="006B0085"/>
    <w:rsid w:val="006B0F85"/>
    <w:rsid w:val="006B111D"/>
    <w:rsid w:val="006B3354"/>
    <w:rsid w:val="006B3C37"/>
    <w:rsid w:val="006B6B0F"/>
    <w:rsid w:val="006C2D56"/>
    <w:rsid w:val="006C3F90"/>
    <w:rsid w:val="006C4007"/>
    <w:rsid w:val="006C4144"/>
    <w:rsid w:val="006C72F4"/>
    <w:rsid w:val="006D1B46"/>
    <w:rsid w:val="006D33D6"/>
    <w:rsid w:val="006D4357"/>
    <w:rsid w:val="006D5330"/>
    <w:rsid w:val="006E1319"/>
    <w:rsid w:val="006E1994"/>
    <w:rsid w:val="006E1FF2"/>
    <w:rsid w:val="006E224E"/>
    <w:rsid w:val="006E2E6E"/>
    <w:rsid w:val="006E42A2"/>
    <w:rsid w:val="006E45CD"/>
    <w:rsid w:val="006E50A0"/>
    <w:rsid w:val="006E66C6"/>
    <w:rsid w:val="006E6A3E"/>
    <w:rsid w:val="006E79B1"/>
    <w:rsid w:val="006F04D2"/>
    <w:rsid w:val="006F08BD"/>
    <w:rsid w:val="006F150B"/>
    <w:rsid w:val="006F2326"/>
    <w:rsid w:val="006F3B7C"/>
    <w:rsid w:val="006F566C"/>
    <w:rsid w:val="006F5BC8"/>
    <w:rsid w:val="006F5CBF"/>
    <w:rsid w:val="006F61D5"/>
    <w:rsid w:val="006F71E3"/>
    <w:rsid w:val="007008C9"/>
    <w:rsid w:val="0070194F"/>
    <w:rsid w:val="00702922"/>
    <w:rsid w:val="00703A3B"/>
    <w:rsid w:val="007041D0"/>
    <w:rsid w:val="00704930"/>
    <w:rsid w:val="00705B94"/>
    <w:rsid w:val="00707DCE"/>
    <w:rsid w:val="0071069E"/>
    <w:rsid w:val="00711267"/>
    <w:rsid w:val="0071607D"/>
    <w:rsid w:val="00721603"/>
    <w:rsid w:val="00721F33"/>
    <w:rsid w:val="00723018"/>
    <w:rsid w:val="0072445A"/>
    <w:rsid w:val="00724A57"/>
    <w:rsid w:val="00727284"/>
    <w:rsid w:val="00727A57"/>
    <w:rsid w:val="007308C6"/>
    <w:rsid w:val="00734452"/>
    <w:rsid w:val="00737DC0"/>
    <w:rsid w:val="0074176B"/>
    <w:rsid w:val="00741FFA"/>
    <w:rsid w:val="007425E0"/>
    <w:rsid w:val="00742C4C"/>
    <w:rsid w:val="00744818"/>
    <w:rsid w:val="00745B4B"/>
    <w:rsid w:val="00746D43"/>
    <w:rsid w:val="00747BB4"/>
    <w:rsid w:val="00750485"/>
    <w:rsid w:val="00753164"/>
    <w:rsid w:val="00753E62"/>
    <w:rsid w:val="007545F6"/>
    <w:rsid w:val="00756682"/>
    <w:rsid w:val="00760B78"/>
    <w:rsid w:val="0076495B"/>
    <w:rsid w:val="00766902"/>
    <w:rsid w:val="00770B57"/>
    <w:rsid w:val="00770CFF"/>
    <w:rsid w:val="00771DD7"/>
    <w:rsid w:val="00771EB7"/>
    <w:rsid w:val="007755EC"/>
    <w:rsid w:val="007761B4"/>
    <w:rsid w:val="00776221"/>
    <w:rsid w:val="007764C8"/>
    <w:rsid w:val="007764F8"/>
    <w:rsid w:val="00777515"/>
    <w:rsid w:val="0077757B"/>
    <w:rsid w:val="00780CA0"/>
    <w:rsid w:val="00781BE7"/>
    <w:rsid w:val="00783D05"/>
    <w:rsid w:val="007848EA"/>
    <w:rsid w:val="00786649"/>
    <w:rsid w:val="00786D68"/>
    <w:rsid w:val="00791387"/>
    <w:rsid w:val="007934FE"/>
    <w:rsid w:val="00793686"/>
    <w:rsid w:val="00797774"/>
    <w:rsid w:val="007A135C"/>
    <w:rsid w:val="007A2B1F"/>
    <w:rsid w:val="007A2CE7"/>
    <w:rsid w:val="007A2FC3"/>
    <w:rsid w:val="007A3FC9"/>
    <w:rsid w:val="007A4C98"/>
    <w:rsid w:val="007B10F7"/>
    <w:rsid w:val="007B45CC"/>
    <w:rsid w:val="007C09EE"/>
    <w:rsid w:val="007C283C"/>
    <w:rsid w:val="007C29C5"/>
    <w:rsid w:val="007C2E87"/>
    <w:rsid w:val="007C7FC2"/>
    <w:rsid w:val="007D0B91"/>
    <w:rsid w:val="007D18CC"/>
    <w:rsid w:val="007D3180"/>
    <w:rsid w:val="007D3986"/>
    <w:rsid w:val="007D5891"/>
    <w:rsid w:val="007D6ADF"/>
    <w:rsid w:val="007E2551"/>
    <w:rsid w:val="007E48F1"/>
    <w:rsid w:val="007E6936"/>
    <w:rsid w:val="007F755A"/>
    <w:rsid w:val="00802F79"/>
    <w:rsid w:val="008037EF"/>
    <w:rsid w:val="0080492D"/>
    <w:rsid w:val="0080519C"/>
    <w:rsid w:val="0080767D"/>
    <w:rsid w:val="00807F52"/>
    <w:rsid w:val="00810FD9"/>
    <w:rsid w:val="00811F27"/>
    <w:rsid w:val="008123A6"/>
    <w:rsid w:val="00813847"/>
    <w:rsid w:val="00815EFA"/>
    <w:rsid w:val="00816259"/>
    <w:rsid w:val="0081716C"/>
    <w:rsid w:val="00822C2B"/>
    <w:rsid w:val="00826D23"/>
    <w:rsid w:val="00827394"/>
    <w:rsid w:val="008325E1"/>
    <w:rsid w:val="0083378B"/>
    <w:rsid w:val="00833805"/>
    <w:rsid w:val="00834B03"/>
    <w:rsid w:val="0083535D"/>
    <w:rsid w:val="00836BE7"/>
    <w:rsid w:val="00837C1C"/>
    <w:rsid w:val="008403D2"/>
    <w:rsid w:val="00842F6E"/>
    <w:rsid w:val="008440D8"/>
    <w:rsid w:val="00851C18"/>
    <w:rsid w:val="0085212A"/>
    <w:rsid w:val="00852997"/>
    <w:rsid w:val="00852A11"/>
    <w:rsid w:val="00853273"/>
    <w:rsid w:val="00853948"/>
    <w:rsid w:val="00854843"/>
    <w:rsid w:val="0085546A"/>
    <w:rsid w:val="00856BD4"/>
    <w:rsid w:val="00857B92"/>
    <w:rsid w:val="00861774"/>
    <w:rsid w:val="0086334A"/>
    <w:rsid w:val="0086391B"/>
    <w:rsid w:val="0086520A"/>
    <w:rsid w:val="008658D7"/>
    <w:rsid w:val="00865917"/>
    <w:rsid w:val="00866073"/>
    <w:rsid w:val="008706D7"/>
    <w:rsid w:val="00871496"/>
    <w:rsid w:val="008719BB"/>
    <w:rsid w:val="00873CD8"/>
    <w:rsid w:val="00875A67"/>
    <w:rsid w:val="00876E72"/>
    <w:rsid w:val="00883A90"/>
    <w:rsid w:val="0088588C"/>
    <w:rsid w:val="00885D8E"/>
    <w:rsid w:val="00890292"/>
    <w:rsid w:val="00891182"/>
    <w:rsid w:val="00893AA3"/>
    <w:rsid w:val="0089572D"/>
    <w:rsid w:val="00897A28"/>
    <w:rsid w:val="008A02B2"/>
    <w:rsid w:val="008A0AEF"/>
    <w:rsid w:val="008A2E37"/>
    <w:rsid w:val="008A43BE"/>
    <w:rsid w:val="008A70CD"/>
    <w:rsid w:val="008B04D7"/>
    <w:rsid w:val="008B0621"/>
    <w:rsid w:val="008B1ECB"/>
    <w:rsid w:val="008B2980"/>
    <w:rsid w:val="008B3E97"/>
    <w:rsid w:val="008B5511"/>
    <w:rsid w:val="008B58F0"/>
    <w:rsid w:val="008B5DAE"/>
    <w:rsid w:val="008B6276"/>
    <w:rsid w:val="008B6DE0"/>
    <w:rsid w:val="008B7BB8"/>
    <w:rsid w:val="008C00DA"/>
    <w:rsid w:val="008C0F14"/>
    <w:rsid w:val="008C2B6B"/>
    <w:rsid w:val="008C7B78"/>
    <w:rsid w:val="008C7E90"/>
    <w:rsid w:val="008D0396"/>
    <w:rsid w:val="008D27D9"/>
    <w:rsid w:val="008D293D"/>
    <w:rsid w:val="008D2947"/>
    <w:rsid w:val="008D2AC1"/>
    <w:rsid w:val="008D3701"/>
    <w:rsid w:val="008D4D1C"/>
    <w:rsid w:val="008D61AA"/>
    <w:rsid w:val="008D6AD6"/>
    <w:rsid w:val="008D75A1"/>
    <w:rsid w:val="008D7DCF"/>
    <w:rsid w:val="008E2F18"/>
    <w:rsid w:val="008E4584"/>
    <w:rsid w:val="008E69A0"/>
    <w:rsid w:val="008F0948"/>
    <w:rsid w:val="008F2100"/>
    <w:rsid w:val="008F266B"/>
    <w:rsid w:val="008F3D4D"/>
    <w:rsid w:val="008F400B"/>
    <w:rsid w:val="008F5019"/>
    <w:rsid w:val="0090013C"/>
    <w:rsid w:val="00900240"/>
    <w:rsid w:val="00902E5D"/>
    <w:rsid w:val="00903967"/>
    <w:rsid w:val="009045CB"/>
    <w:rsid w:val="00905455"/>
    <w:rsid w:val="009054FF"/>
    <w:rsid w:val="00906A40"/>
    <w:rsid w:val="00906C21"/>
    <w:rsid w:val="00910BB7"/>
    <w:rsid w:val="00911C8F"/>
    <w:rsid w:val="00912259"/>
    <w:rsid w:val="00913DC2"/>
    <w:rsid w:val="009147FE"/>
    <w:rsid w:val="00916C75"/>
    <w:rsid w:val="00917C8F"/>
    <w:rsid w:val="00917D9E"/>
    <w:rsid w:val="00920DB0"/>
    <w:rsid w:val="00922D18"/>
    <w:rsid w:val="0092486F"/>
    <w:rsid w:val="00932D84"/>
    <w:rsid w:val="00935354"/>
    <w:rsid w:val="0094073A"/>
    <w:rsid w:val="00940A98"/>
    <w:rsid w:val="00942FF8"/>
    <w:rsid w:val="0094483D"/>
    <w:rsid w:val="0094749D"/>
    <w:rsid w:val="009527FC"/>
    <w:rsid w:val="00952EE3"/>
    <w:rsid w:val="0095357D"/>
    <w:rsid w:val="00953E56"/>
    <w:rsid w:val="00955796"/>
    <w:rsid w:val="00960451"/>
    <w:rsid w:val="00961115"/>
    <w:rsid w:val="009614C4"/>
    <w:rsid w:val="009627D0"/>
    <w:rsid w:val="00965141"/>
    <w:rsid w:val="009656EC"/>
    <w:rsid w:val="00965BED"/>
    <w:rsid w:val="0096668A"/>
    <w:rsid w:val="0096726B"/>
    <w:rsid w:val="00970453"/>
    <w:rsid w:val="00971462"/>
    <w:rsid w:val="009717F1"/>
    <w:rsid w:val="0097210F"/>
    <w:rsid w:val="0097245B"/>
    <w:rsid w:val="00973011"/>
    <w:rsid w:val="009733B7"/>
    <w:rsid w:val="009746E6"/>
    <w:rsid w:val="009749AB"/>
    <w:rsid w:val="00974C1F"/>
    <w:rsid w:val="00976943"/>
    <w:rsid w:val="00977EA2"/>
    <w:rsid w:val="00982240"/>
    <w:rsid w:val="00985BF8"/>
    <w:rsid w:val="00985FDD"/>
    <w:rsid w:val="00986E00"/>
    <w:rsid w:val="009878E0"/>
    <w:rsid w:val="009916E8"/>
    <w:rsid w:val="009924E7"/>
    <w:rsid w:val="00992E09"/>
    <w:rsid w:val="009950A3"/>
    <w:rsid w:val="009951E4"/>
    <w:rsid w:val="009A0B00"/>
    <w:rsid w:val="009A1966"/>
    <w:rsid w:val="009A1FED"/>
    <w:rsid w:val="009A2482"/>
    <w:rsid w:val="009A3057"/>
    <w:rsid w:val="009A3D50"/>
    <w:rsid w:val="009A5C67"/>
    <w:rsid w:val="009A66BE"/>
    <w:rsid w:val="009A6A7F"/>
    <w:rsid w:val="009B13E4"/>
    <w:rsid w:val="009B1F71"/>
    <w:rsid w:val="009B4568"/>
    <w:rsid w:val="009B461B"/>
    <w:rsid w:val="009B4D6F"/>
    <w:rsid w:val="009B5ABE"/>
    <w:rsid w:val="009B6462"/>
    <w:rsid w:val="009B6B34"/>
    <w:rsid w:val="009B7EE3"/>
    <w:rsid w:val="009C01FF"/>
    <w:rsid w:val="009C09A1"/>
    <w:rsid w:val="009C1715"/>
    <w:rsid w:val="009C6506"/>
    <w:rsid w:val="009D00DF"/>
    <w:rsid w:val="009D09BF"/>
    <w:rsid w:val="009D1C2C"/>
    <w:rsid w:val="009D2F0F"/>
    <w:rsid w:val="009D43F2"/>
    <w:rsid w:val="009D4CAC"/>
    <w:rsid w:val="009D4FAE"/>
    <w:rsid w:val="009D7F4F"/>
    <w:rsid w:val="009E31AA"/>
    <w:rsid w:val="009E5345"/>
    <w:rsid w:val="009E6D1B"/>
    <w:rsid w:val="009F2074"/>
    <w:rsid w:val="009F307B"/>
    <w:rsid w:val="009F44EA"/>
    <w:rsid w:val="009F4A41"/>
    <w:rsid w:val="009F5476"/>
    <w:rsid w:val="009F5BAA"/>
    <w:rsid w:val="009F6368"/>
    <w:rsid w:val="009F6CD0"/>
    <w:rsid w:val="00A01D71"/>
    <w:rsid w:val="00A03202"/>
    <w:rsid w:val="00A04204"/>
    <w:rsid w:val="00A04237"/>
    <w:rsid w:val="00A05F94"/>
    <w:rsid w:val="00A06D56"/>
    <w:rsid w:val="00A07EC4"/>
    <w:rsid w:val="00A1131C"/>
    <w:rsid w:val="00A14101"/>
    <w:rsid w:val="00A14736"/>
    <w:rsid w:val="00A15DF5"/>
    <w:rsid w:val="00A209EA"/>
    <w:rsid w:val="00A20BD4"/>
    <w:rsid w:val="00A2138B"/>
    <w:rsid w:val="00A241A9"/>
    <w:rsid w:val="00A25105"/>
    <w:rsid w:val="00A25D19"/>
    <w:rsid w:val="00A26664"/>
    <w:rsid w:val="00A26D63"/>
    <w:rsid w:val="00A26EC0"/>
    <w:rsid w:val="00A2768F"/>
    <w:rsid w:val="00A27A4F"/>
    <w:rsid w:val="00A31ACB"/>
    <w:rsid w:val="00A3317C"/>
    <w:rsid w:val="00A33B5D"/>
    <w:rsid w:val="00A367BB"/>
    <w:rsid w:val="00A40FAF"/>
    <w:rsid w:val="00A41C79"/>
    <w:rsid w:val="00A43135"/>
    <w:rsid w:val="00A4324B"/>
    <w:rsid w:val="00A44812"/>
    <w:rsid w:val="00A458CD"/>
    <w:rsid w:val="00A47464"/>
    <w:rsid w:val="00A4763C"/>
    <w:rsid w:val="00A4789A"/>
    <w:rsid w:val="00A513D7"/>
    <w:rsid w:val="00A550BB"/>
    <w:rsid w:val="00A562A1"/>
    <w:rsid w:val="00A61DF0"/>
    <w:rsid w:val="00A625F8"/>
    <w:rsid w:val="00A63112"/>
    <w:rsid w:val="00A65AA1"/>
    <w:rsid w:val="00A65B2E"/>
    <w:rsid w:val="00A65B45"/>
    <w:rsid w:val="00A66DFF"/>
    <w:rsid w:val="00A70940"/>
    <w:rsid w:val="00A70AA8"/>
    <w:rsid w:val="00A70B14"/>
    <w:rsid w:val="00A7150B"/>
    <w:rsid w:val="00A72009"/>
    <w:rsid w:val="00A72049"/>
    <w:rsid w:val="00A728A8"/>
    <w:rsid w:val="00A73208"/>
    <w:rsid w:val="00A73C47"/>
    <w:rsid w:val="00A74AEC"/>
    <w:rsid w:val="00A76544"/>
    <w:rsid w:val="00A804E7"/>
    <w:rsid w:val="00A8183F"/>
    <w:rsid w:val="00A81B3A"/>
    <w:rsid w:val="00A82284"/>
    <w:rsid w:val="00A83CD8"/>
    <w:rsid w:val="00A90F0A"/>
    <w:rsid w:val="00A9632C"/>
    <w:rsid w:val="00A972EC"/>
    <w:rsid w:val="00A973B0"/>
    <w:rsid w:val="00A9797A"/>
    <w:rsid w:val="00AA2C0B"/>
    <w:rsid w:val="00AA37AA"/>
    <w:rsid w:val="00AA650C"/>
    <w:rsid w:val="00AA6E27"/>
    <w:rsid w:val="00AA7749"/>
    <w:rsid w:val="00AB0627"/>
    <w:rsid w:val="00AB0DD0"/>
    <w:rsid w:val="00AB4704"/>
    <w:rsid w:val="00AB584E"/>
    <w:rsid w:val="00AB58E8"/>
    <w:rsid w:val="00AB69B3"/>
    <w:rsid w:val="00AB73F1"/>
    <w:rsid w:val="00AB799E"/>
    <w:rsid w:val="00AC0C06"/>
    <w:rsid w:val="00AC173F"/>
    <w:rsid w:val="00AC3947"/>
    <w:rsid w:val="00AC489B"/>
    <w:rsid w:val="00AC629F"/>
    <w:rsid w:val="00AC74CA"/>
    <w:rsid w:val="00AD6DCE"/>
    <w:rsid w:val="00AD75EA"/>
    <w:rsid w:val="00AD786F"/>
    <w:rsid w:val="00AD7B01"/>
    <w:rsid w:val="00AD7F25"/>
    <w:rsid w:val="00AE0158"/>
    <w:rsid w:val="00AE2218"/>
    <w:rsid w:val="00AE2B78"/>
    <w:rsid w:val="00AE3BF5"/>
    <w:rsid w:val="00AE4BBC"/>
    <w:rsid w:val="00AE5502"/>
    <w:rsid w:val="00AE628D"/>
    <w:rsid w:val="00AE6845"/>
    <w:rsid w:val="00AE6E98"/>
    <w:rsid w:val="00AF744F"/>
    <w:rsid w:val="00B01EA8"/>
    <w:rsid w:val="00B02627"/>
    <w:rsid w:val="00B02D02"/>
    <w:rsid w:val="00B05A29"/>
    <w:rsid w:val="00B0691F"/>
    <w:rsid w:val="00B06CA0"/>
    <w:rsid w:val="00B10EA7"/>
    <w:rsid w:val="00B12B43"/>
    <w:rsid w:val="00B12C16"/>
    <w:rsid w:val="00B1530F"/>
    <w:rsid w:val="00B15793"/>
    <w:rsid w:val="00B15FF0"/>
    <w:rsid w:val="00B1774D"/>
    <w:rsid w:val="00B22A25"/>
    <w:rsid w:val="00B23D05"/>
    <w:rsid w:val="00B241B5"/>
    <w:rsid w:val="00B31D03"/>
    <w:rsid w:val="00B33764"/>
    <w:rsid w:val="00B34633"/>
    <w:rsid w:val="00B35330"/>
    <w:rsid w:val="00B35C0F"/>
    <w:rsid w:val="00B35D24"/>
    <w:rsid w:val="00B367FB"/>
    <w:rsid w:val="00B37664"/>
    <w:rsid w:val="00B43B1A"/>
    <w:rsid w:val="00B45682"/>
    <w:rsid w:val="00B50ED3"/>
    <w:rsid w:val="00B528B2"/>
    <w:rsid w:val="00B579BF"/>
    <w:rsid w:val="00B62E7D"/>
    <w:rsid w:val="00B65453"/>
    <w:rsid w:val="00B70698"/>
    <w:rsid w:val="00B74900"/>
    <w:rsid w:val="00B75A41"/>
    <w:rsid w:val="00B760AB"/>
    <w:rsid w:val="00B764A6"/>
    <w:rsid w:val="00B80D5E"/>
    <w:rsid w:val="00B83D17"/>
    <w:rsid w:val="00B83D69"/>
    <w:rsid w:val="00B84A84"/>
    <w:rsid w:val="00B84F51"/>
    <w:rsid w:val="00B851AD"/>
    <w:rsid w:val="00B862BF"/>
    <w:rsid w:val="00B86A16"/>
    <w:rsid w:val="00B871A1"/>
    <w:rsid w:val="00B87FF6"/>
    <w:rsid w:val="00B917F1"/>
    <w:rsid w:val="00B917FF"/>
    <w:rsid w:val="00B92677"/>
    <w:rsid w:val="00B9393A"/>
    <w:rsid w:val="00B95B62"/>
    <w:rsid w:val="00BA18C0"/>
    <w:rsid w:val="00BA2A87"/>
    <w:rsid w:val="00BA3DD8"/>
    <w:rsid w:val="00BA4624"/>
    <w:rsid w:val="00BA48CF"/>
    <w:rsid w:val="00BA4CD6"/>
    <w:rsid w:val="00BB7973"/>
    <w:rsid w:val="00BB7A16"/>
    <w:rsid w:val="00BC10DE"/>
    <w:rsid w:val="00BC118D"/>
    <w:rsid w:val="00BC157C"/>
    <w:rsid w:val="00BC1711"/>
    <w:rsid w:val="00BC3090"/>
    <w:rsid w:val="00BC4801"/>
    <w:rsid w:val="00BC4BEA"/>
    <w:rsid w:val="00BC5674"/>
    <w:rsid w:val="00BC726A"/>
    <w:rsid w:val="00BC76F1"/>
    <w:rsid w:val="00BC7B92"/>
    <w:rsid w:val="00BD0366"/>
    <w:rsid w:val="00BD4247"/>
    <w:rsid w:val="00BD4D24"/>
    <w:rsid w:val="00BD5C55"/>
    <w:rsid w:val="00BD7D0F"/>
    <w:rsid w:val="00BE0C18"/>
    <w:rsid w:val="00BE17A4"/>
    <w:rsid w:val="00BE3DC7"/>
    <w:rsid w:val="00BE52A8"/>
    <w:rsid w:val="00BE5F22"/>
    <w:rsid w:val="00BE6E97"/>
    <w:rsid w:val="00BE7C9B"/>
    <w:rsid w:val="00BF0E4A"/>
    <w:rsid w:val="00BF1905"/>
    <w:rsid w:val="00BF3609"/>
    <w:rsid w:val="00C00F44"/>
    <w:rsid w:val="00C011EC"/>
    <w:rsid w:val="00C0130A"/>
    <w:rsid w:val="00C0369A"/>
    <w:rsid w:val="00C042FE"/>
    <w:rsid w:val="00C05146"/>
    <w:rsid w:val="00C05618"/>
    <w:rsid w:val="00C06FF3"/>
    <w:rsid w:val="00C075C8"/>
    <w:rsid w:val="00C10277"/>
    <w:rsid w:val="00C12315"/>
    <w:rsid w:val="00C130D3"/>
    <w:rsid w:val="00C13542"/>
    <w:rsid w:val="00C14353"/>
    <w:rsid w:val="00C1723E"/>
    <w:rsid w:val="00C17279"/>
    <w:rsid w:val="00C22BE0"/>
    <w:rsid w:val="00C23340"/>
    <w:rsid w:val="00C233C0"/>
    <w:rsid w:val="00C23555"/>
    <w:rsid w:val="00C24BCD"/>
    <w:rsid w:val="00C24CD3"/>
    <w:rsid w:val="00C262BC"/>
    <w:rsid w:val="00C26BE7"/>
    <w:rsid w:val="00C30FF9"/>
    <w:rsid w:val="00C32DFD"/>
    <w:rsid w:val="00C34CF2"/>
    <w:rsid w:val="00C35744"/>
    <w:rsid w:val="00C42175"/>
    <w:rsid w:val="00C432A0"/>
    <w:rsid w:val="00C43357"/>
    <w:rsid w:val="00C46A33"/>
    <w:rsid w:val="00C47323"/>
    <w:rsid w:val="00C473D0"/>
    <w:rsid w:val="00C475D6"/>
    <w:rsid w:val="00C518FB"/>
    <w:rsid w:val="00C530BC"/>
    <w:rsid w:val="00C5316B"/>
    <w:rsid w:val="00C533A1"/>
    <w:rsid w:val="00C53EE6"/>
    <w:rsid w:val="00C54496"/>
    <w:rsid w:val="00C545A0"/>
    <w:rsid w:val="00C54925"/>
    <w:rsid w:val="00C54A3C"/>
    <w:rsid w:val="00C56D09"/>
    <w:rsid w:val="00C5708F"/>
    <w:rsid w:val="00C62920"/>
    <w:rsid w:val="00C63212"/>
    <w:rsid w:val="00C633F2"/>
    <w:rsid w:val="00C63E17"/>
    <w:rsid w:val="00C647B3"/>
    <w:rsid w:val="00C64DCB"/>
    <w:rsid w:val="00C64ED9"/>
    <w:rsid w:val="00C65D0E"/>
    <w:rsid w:val="00C66E3E"/>
    <w:rsid w:val="00C677E4"/>
    <w:rsid w:val="00C700C1"/>
    <w:rsid w:val="00C70D4B"/>
    <w:rsid w:val="00C73233"/>
    <w:rsid w:val="00C73DC9"/>
    <w:rsid w:val="00C74211"/>
    <w:rsid w:val="00C7725A"/>
    <w:rsid w:val="00C77DEA"/>
    <w:rsid w:val="00C8027D"/>
    <w:rsid w:val="00C84E48"/>
    <w:rsid w:val="00C864C1"/>
    <w:rsid w:val="00C86A0B"/>
    <w:rsid w:val="00C87DA2"/>
    <w:rsid w:val="00C909BF"/>
    <w:rsid w:val="00C91831"/>
    <w:rsid w:val="00C94329"/>
    <w:rsid w:val="00C947E9"/>
    <w:rsid w:val="00C94D71"/>
    <w:rsid w:val="00CA399F"/>
    <w:rsid w:val="00CA5C7C"/>
    <w:rsid w:val="00CA77C0"/>
    <w:rsid w:val="00CA792A"/>
    <w:rsid w:val="00CB0106"/>
    <w:rsid w:val="00CB15FB"/>
    <w:rsid w:val="00CB47D1"/>
    <w:rsid w:val="00CB5D83"/>
    <w:rsid w:val="00CB5E48"/>
    <w:rsid w:val="00CB6693"/>
    <w:rsid w:val="00CB744B"/>
    <w:rsid w:val="00CB7ED8"/>
    <w:rsid w:val="00CC221C"/>
    <w:rsid w:val="00CC2BE6"/>
    <w:rsid w:val="00CC3916"/>
    <w:rsid w:val="00CC3B78"/>
    <w:rsid w:val="00CC56C6"/>
    <w:rsid w:val="00CC67EA"/>
    <w:rsid w:val="00CC71B1"/>
    <w:rsid w:val="00CD06A4"/>
    <w:rsid w:val="00CD36A8"/>
    <w:rsid w:val="00CD4795"/>
    <w:rsid w:val="00CD5E8E"/>
    <w:rsid w:val="00CD5F3F"/>
    <w:rsid w:val="00CE1314"/>
    <w:rsid w:val="00CE15CB"/>
    <w:rsid w:val="00CE1C75"/>
    <w:rsid w:val="00CE2272"/>
    <w:rsid w:val="00CE48B2"/>
    <w:rsid w:val="00CE4BAA"/>
    <w:rsid w:val="00CE4C83"/>
    <w:rsid w:val="00CE59EE"/>
    <w:rsid w:val="00CE72B8"/>
    <w:rsid w:val="00CE7D67"/>
    <w:rsid w:val="00CF1243"/>
    <w:rsid w:val="00CF1763"/>
    <w:rsid w:val="00CF60AA"/>
    <w:rsid w:val="00CF6100"/>
    <w:rsid w:val="00CF7307"/>
    <w:rsid w:val="00D0034E"/>
    <w:rsid w:val="00D0791A"/>
    <w:rsid w:val="00D07D5E"/>
    <w:rsid w:val="00D10125"/>
    <w:rsid w:val="00D118D9"/>
    <w:rsid w:val="00D12B80"/>
    <w:rsid w:val="00D1378A"/>
    <w:rsid w:val="00D14BBA"/>
    <w:rsid w:val="00D14E4B"/>
    <w:rsid w:val="00D20AA9"/>
    <w:rsid w:val="00D2396C"/>
    <w:rsid w:val="00D24545"/>
    <w:rsid w:val="00D24D99"/>
    <w:rsid w:val="00D25A68"/>
    <w:rsid w:val="00D30223"/>
    <w:rsid w:val="00D333EB"/>
    <w:rsid w:val="00D3440F"/>
    <w:rsid w:val="00D3692C"/>
    <w:rsid w:val="00D3768F"/>
    <w:rsid w:val="00D40B01"/>
    <w:rsid w:val="00D4156D"/>
    <w:rsid w:val="00D43650"/>
    <w:rsid w:val="00D446AD"/>
    <w:rsid w:val="00D44940"/>
    <w:rsid w:val="00D45E5F"/>
    <w:rsid w:val="00D47252"/>
    <w:rsid w:val="00D47C46"/>
    <w:rsid w:val="00D47FD8"/>
    <w:rsid w:val="00D50A78"/>
    <w:rsid w:val="00D511DB"/>
    <w:rsid w:val="00D51484"/>
    <w:rsid w:val="00D526D1"/>
    <w:rsid w:val="00D5273A"/>
    <w:rsid w:val="00D5376C"/>
    <w:rsid w:val="00D5482A"/>
    <w:rsid w:val="00D54D90"/>
    <w:rsid w:val="00D56132"/>
    <w:rsid w:val="00D567F3"/>
    <w:rsid w:val="00D5701D"/>
    <w:rsid w:val="00D57EDB"/>
    <w:rsid w:val="00D63F6E"/>
    <w:rsid w:val="00D6631B"/>
    <w:rsid w:val="00D710EA"/>
    <w:rsid w:val="00D7171A"/>
    <w:rsid w:val="00D748C6"/>
    <w:rsid w:val="00D7606D"/>
    <w:rsid w:val="00D81541"/>
    <w:rsid w:val="00D8302A"/>
    <w:rsid w:val="00D86F7F"/>
    <w:rsid w:val="00D87055"/>
    <w:rsid w:val="00D876F9"/>
    <w:rsid w:val="00D87E73"/>
    <w:rsid w:val="00D95EBA"/>
    <w:rsid w:val="00D95FEB"/>
    <w:rsid w:val="00DA1BFE"/>
    <w:rsid w:val="00DA353D"/>
    <w:rsid w:val="00DA48BB"/>
    <w:rsid w:val="00DA5849"/>
    <w:rsid w:val="00DA6428"/>
    <w:rsid w:val="00DA6E6A"/>
    <w:rsid w:val="00DB085C"/>
    <w:rsid w:val="00DB6107"/>
    <w:rsid w:val="00DC0FE0"/>
    <w:rsid w:val="00DC3C73"/>
    <w:rsid w:val="00DC5673"/>
    <w:rsid w:val="00DC78FB"/>
    <w:rsid w:val="00DD1234"/>
    <w:rsid w:val="00DD1DA0"/>
    <w:rsid w:val="00DD2612"/>
    <w:rsid w:val="00DD4907"/>
    <w:rsid w:val="00DD5768"/>
    <w:rsid w:val="00DD60F4"/>
    <w:rsid w:val="00DD6E3C"/>
    <w:rsid w:val="00DD7683"/>
    <w:rsid w:val="00DD7BDD"/>
    <w:rsid w:val="00DE0C3E"/>
    <w:rsid w:val="00DE2BA5"/>
    <w:rsid w:val="00DE2F7B"/>
    <w:rsid w:val="00DE3282"/>
    <w:rsid w:val="00DE5854"/>
    <w:rsid w:val="00DE5899"/>
    <w:rsid w:val="00DF2CD1"/>
    <w:rsid w:val="00DF3AC6"/>
    <w:rsid w:val="00DF5408"/>
    <w:rsid w:val="00DF694A"/>
    <w:rsid w:val="00E00A55"/>
    <w:rsid w:val="00E013B4"/>
    <w:rsid w:val="00E0142A"/>
    <w:rsid w:val="00E018A8"/>
    <w:rsid w:val="00E03251"/>
    <w:rsid w:val="00E044A0"/>
    <w:rsid w:val="00E11EBD"/>
    <w:rsid w:val="00E16938"/>
    <w:rsid w:val="00E20398"/>
    <w:rsid w:val="00E209A6"/>
    <w:rsid w:val="00E20DAC"/>
    <w:rsid w:val="00E221CF"/>
    <w:rsid w:val="00E235EB"/>
    <w:rsid w:val="00E2529E"/>
    <w:rsid w:val="00E27645"/>
    <w:rsid w:val="00E27BB2"/>
    <w:rsid w:val="00E30B31"/>
    <w:rsid w:val="00E3182B"/>
    <w:rsid w:val="00E31E72"/>
    <w:rsid w:val="00E33695"/>
    <w:rsid w:val="00E34408"/>
    <w:rsid w:val="00E4094F"/>
    <w:rsid w:val="00E41D4F"/>
    <w:rsid w:val="00E45ADA"/>
    <w:rsid w:val="00E4660D"/>
    <w:rsid w:val="00E47420"/>
    <w:rsid w:val="00E50726"/>
    <w:rsid w:val="00E5183A"/>
    <w:rsid w:val="00E53430"/>
    <w:rsid w:val="00E55E70"/>
    <w:rsid w:val="00E5623E"/>
    <w:rsid w:val="00E56756"/>
    <w:rsid w:val="00E56BBE"/>
    <w:rsid w:val="00E602F7"/>
    <w:rsid w:val="00E616C3"/>
    <w:rsid w:val="00E671A3"/>
    <w:rsid w:val="00E7031C"/>
    <w:rsid w:val="00E71194"/>
    <w:rsid w:val="00E71587"/>
    <w:rsid w:val="00E71C12"/>
    <w:rsid w:val="00E73DA0"/>
    <w:rsid w:val="00E74311"/>
    <w:rsid w:val="00E74640"/>
    <w:rsid w:val="00E76C7B"/>
    <w:rsid w:val="00E76E73"/>
    <w:rsid w:val="00E825D5"/>
    <w:rsid w:val="00E87A0B"/>
    <w:rsid w:val="00E90721"/>
    <w:rsid w:val="00E9073F"/>
    <w:rsid w:val="00E93A05"/>
    <w:rsid w:val="00E95458"/>
    <w:rsid w:val="00E9558A"/>
    <w:rsid w:val="00E966CF"/>
    <w:rsid w:val="00E9722C"/>
    <w:rsid w:val="00E97900"/>
    <w:rsid w:val="00E979A7"/>
    <w:rsid w:val="00EA1D68"/>
    <w:rsid w:val="00EA2E6B"/>
    <w:rsid w:val="00EA3247"/>
    <w:rsid w:val="00EA3518"/>
    <w:rsid w:val="00EA3D14"/>
    <w:rsid w:val="00EA4AE6"/>
    <w:rsid w:val="00EA55E5"/>
    <w:rsid w:val="00EA7DF0"/>
    <w:rsid w:val="00EB0853"/>
    <w:rsid w:val="00EB0999"/>
    <w:rsid w:val="00EB1653"/>
    <w:rsid w:val="00EB2644"/>
    <w:rsid w:val="00EB4FF0"/>
    <w:rsid w:val="00EC14F0"/>
    <w:rsid w:val="00EC37DE"/>
    <w:rsid w:val="00EC5733"/>
    <w:rsid w:val="00EC5A94"/>
    <w:rsid w:val="00ED163A"/>
    <w:rsid w:val="00ED1817"/>
    <w:rsid w:val="00ED21F1"/>
    <w:rsid w:val="00ED2E89"/>
    <w:rsid w:val="00ED60C1"/>
    <w:rsid w:val="00EE08F1"/>
    <w:rsid w:val="00EE240C"/>
    <w:rsid w:val="00EE2E84"/>
    <w:rsid w:val="00EE2E8B"/>
    <w:rsid w:val="00EE3DA0"/>
    <w:rsid w:val="00EE4953"/>
    <w:rsid w:val="00EE5AF1"/>
    <w:rsid w:val="00EE64D1"/>
    <w:rsid w:val="00EF0054"/>
    <w:rsid w:val="00EF0649"/>
    <w:rsid w:val="00EF278B"/>
    <w:rsid w:val="00EF286E"/>
    <w:rsid w:val="00EF3E4A"/>
    <w:rsid w:val="00EF47AB"/>
    <w:rsid w:val="00EF4EA7"/>
    <w:rsid w:val="00EF5416"/>
    <w:rsid w:val="00EF5972"/>
    <w:rsid w:val="00EF605B"/>
    <w:rsid w:val="00EF6765"/>
    <w:rsid w:val="00F00632"/>
    <w:rsid w:val="00F00682"/>
    <w:rsid w:val="00F01BF0"/>
    <w:rsid w:val="00F01D87"/>
    <w:rsid w:val="00F02599"/>
    <w:rsid w:val="00F046D0"/>
    <w:rsid w:val="00F066E4"/>
    <w:rsid w:val="00F071A9"/>
    <w:rsid w:val="00F108E4"/>
    <w:rsid w:val="00F10B04"/>
    <w:rsid w:val="00F10B38"/>
    <w:rsid w:val="00F15155"/>
    <w:rsid w:val="00F1608A"/>
    <w:rsid w:val="00F202C8"/>
    <w:rsid w:val="00F21132"/>
    <w:rsid w:val="00F22138"/>
    <w:rsid w:val="00F2225F"/>
    <w:rsid w:val="00F22DC3"/>
    <w:rsid w:val="00F22F3B"/>
    <w:rsid w:val="00F2320D"/>
    <w:rsid w:val="00F232FA"/>
    <w:rsid w:val="00F2372C"/>
    <w:rsid w:val="00F3189B"/>
    <w:rsid w:val="00F35C0A"/>
    <w:rsid w:val="00F36D34"/>
    <w:rsid w:val="00F36F58"/>
    <w:rsid w:val="00F423FD"/>
    <w:rsid w:val="00F424FA"/>
    <w:rsid w:val="00F43F6D"/>
    <w:rsid w:val="00F4696C"/>
    <w:rsid w:val="00F47497"/>
    <w:rsid w:val="00F47D56"/>
    <w:rsid w:val="00F518B1"/>
    <w:rsid w:val="00F527CD"/>
    <w:rsid w:val="00F5472C"/>
    <w:rsid w:val="00F56663"/>
    <w:rsid w:val="00F56BF6"/>
    <w:rsid w:val="00F60597"/>
    <w:rsid w:val="00F6154A"/>
    <w:rsid w:val="00F6295C"/>
    <w:rsid w:val="00F65520"/>
    <w:rsid w:val="00F66EF9"/>
    <w:rsid w:val="00F70025"/>
    <w:rsid w:val="00F7162D"/>
    <w:rsid w:val="00F741D3"/>
    <w:rsid w:val="00F744D6"/>
    <w:rsid w:val="00F745CD"/>
    <w:rsid w:val="00F75017"/>
    <w:rsid w:val="00F75C43"/>
    <w:rsid w:val="00F77914"/>
    <w:rsid w:val="00F77F86"/>
    <w:rsid w:val="00F817A3"/>
    <w:rsid w:val="00F82893"/>
    <w:rsid w:val="00F844E5"/>
    <w:rsid w:val="00F9017E"/>
    <w:rsid w:val="00F92BB1"/>
    <w:rsid w:val="00F938FF"/>
    <w:rsid w:val="00F94AAB"/>
    <w:rsid w:val="00F955D0"/>
    <w:rsid w:val="00F96A67"/>
    <w:rsid w:val="00F97EBE"/>
    <w:rsid w:val="00FA3E9A"/>
    <w:rsid w:val="00FB07E2"/>
    <w:rsid w:val="00FB101E"/>
    <w:rsid w:val="00FB21CB"/>
    <w:rsid w:val="00FB39AD"/>
    <w:rsid w:val="00FB574D"/>
    <w:rsid w:val="00FB6786"/>
    <w:rsid w:val="00FB6E38"/>
    <w:rsid w:val="00FB7EBA"/>
    <w:rsid w:val="00FC0419"/>
    <w:rsid w:val="00FC6A3B"/>
    <w:rsid w:val="00FD014B"/>
    <w:rsid w:val="00FD19F4"/>
    <w:rsid w:val="00FD5AE9"/>
    <w:rsid w:val="00FD69CE"/>
    <w:rsid w:val="00FE151D"/>
    <w:rsid w:val="00FE572E"/>
    <w:rsid w:val="00FE71EE"/>
    <w:rsid w:val="00FF0C8D"/>
    <w:rsid w:val="00FF0DD9"/>
    <w:rsid w:val="00FF5406"/>
    <w:rsid w:val="00FF56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9AEFF"/>
  <w15:chartTrackingRefBased/>
  <w15:docId w15:val="{5BA59376-0148-4CCD-B8D3-DE8BD8FBA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759F"/>
    <w:pPr>
      <w:keepNext/>
      <w:keepLines/>
      <w:spacing w:before="240" w:after="0"/>
      <w:outlineLvl w:val="0"/>
    </w:pPr>
    <w:rPr>
      <w:rFonts w:asciiTheme="majorHAnsi" w:eastAsiaTheme="majorEastAsia" w:hAnsiTheme="majorHAnsi" w:cstheme="majorBidi"/>
      <w:b/>
      <w:color w:val="00A9EF" w:themeColor="accent1"/>
      <w:sz w:val="32"/>
      <w:szCs w:val="32"/>
    </w:rPr>
  </w:style>
  <w:style w:type="paragraph" w:styleId="Heading2">
    <w:name w:val="heading 2"/>
    <w:basedOn w:val="Normal"/>
    <w:next w:val="Normal"/>
    <w:link w:val="Heading2Char"/>
    <w:uiPriority w:val="9"/>
    <w:unhideWhenUsed/>
    <w:qFormat/>
    <w:rsid w:val="0049759F"/>
    <w:pPr>
      <w:keepNext/>
      <w:keepLines/>
      <w:spacing w:before="240" w:after="120"/>
      <w:outlineLvl w:val="1"/>
    </w:pPr>
    <w:rPr>
      <w:rFonts w:asciiTheme="majorHAnsi" w:eastAsiaTheme="majorEastAsia" w:hAnsiTheme="majorHAnsi" w:cstheme="majorBidi"/>
      <w:b/>
      <w:color w:val="5CCFFF" w:themeColor="accent1" w:themeTint="9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35DF"/>
    <w:rPr>
      <w:b/>
      <w:bCs/>
      <w:color w:val="000000" w:themeColor="text1"/>
    </w:rPr>
  </w:style>
  <w:style w:type="table" w:styleId="ListTable3">
    <w:name w:val="List Table 3"/>
    <w:basedOn w:val="TableNormal"/>
    <w:uiPriority w:val="48"/>
    <w:rsid w:val="00A25D19"/>
    <w:pPr>
      <w:spacing w:after="0" w:line="240" w:lineRule="auto"/>
    </w:pPr>
    <w:tblPr>
      <w:tblStyleRowBandSize w:val="1"/>
      <w:tblStyleColBandSize w:val="1"/>
      <w:tblInd w:w="0" w:type="nil"/>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A25D19"/>
    <w:pPr>
      <w:spacing w:after="0" w:line="240" w:lineRule="auto"/>
    </w:p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25D19"/>
    <w:pPr>
      <w:ind w:left="720"/>
      <w:contextualSpacing/>
    </w:pPr>
  </w:style>
  <w:style w:type="character" w:customStyle="1" w:styleId="Heading1Char">
    <w:name w:val="Heading 1 Char"/>
    <w:basedOn w:val="DefaultParagraphFont"/>
    <w:link w:val="Heading1"/>
    <w:uiPriority w:val="9"/>
    <w:rsid w:val="0049759F"/>
    <w:rPr>
      <w:rFonts w:asciiTheme="majorHAnsi" w:eastAsiaTheme="majorEastAsia" w:hAnsiTheme="majorHAnsi" w:cstheme="majorBidi"/>
      <w:b/>
      <w:color w:val="00A9EF" w:themeColor="accent1"/>
      <w:sz w:val="32"/>
      <w:szCs w:val="32"/>
    </w:rPr>
  </w:style>
  <w:style w:type="character" w:customStyle="1" w:styleId="Heading2Char">
    <w:name w:val="Heading 2 Char"/>
    <w:basedOn w:val="DefaultParagraphFont"/>
    <w:link w:val="Heading2"/>
    <w:uiPriority w:val="9"/>
    <w:rsid w:val="0049759F"/>
    <w:rPr>
      <w:rFonts w:asciiTheme="majorHAnsi" w:eastAsiaTheme="majorEastAsia" w:hAnsiTheme="majorHAnsi" w:cstheme="majorBidi"/>
      <w:b/>
      <w:color w:val="5CCFFF" w:themeColor="accent1" w:themeTint="99"/>
      <w:sz w:val="26"/>
      <w:szCs w:val="26"/>
    </w:rPr>
  </w:style>
  <w:style w:type="paragraph" w:styleId="Title">
    <w:name w:val="Title"/>
    <w:basedOn w:val="Normal"/>
    <w:next w:val="Normal"/>
    <w:link w:val="TitleChar"/>
    <w:uiPriority w:val="10"/>
    <w:qFormat/>
    <w:rsid w:val="00A65B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5B45"/>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B3699"/>
    <w:rPr>
      <w:sz w:val="16"/>
      <w:szCs w:val="16"/>
    </w:rPr>
  </w:style>
  <w:style w:type="paragraph" w:styleId="CommentText">
    <w:name w:val="annotation text"/>
    <w:basedOn w:val="Normal"/>
    <w:link w:val="CommentTextChar"/>
    <w:uiPriority w:val="99"/>
    <w:unhideWhenUsed/>
    <w:rsid w:val="004B3699"/>
    <w:pPr>
      <w:spacing w:line="240" w:lineRule="auto"/>
    </w:pPr>
    <w:rPr>
      <w:sz w:val="20"/>
      <w:szCs w:val="20"/>
    </w:rPr>
  </w:style>
  <w:style w:type="character" w:customStyle="1" w:styleId="CommentTextChar">
    <w:name w:val="Comment Text Char"/>
    <w:basedOn w:val="DefaultParagraphFont"/>
    <w:link w:val="CommentText"/>
    <w:uiPriority w:val="99"/>
    <w:rsid w:val="004B3699"/>
    <w:rPr>
      <w:sz w:val="20"/>
      <w:szCs w:val="20"/>
    </w:rPr>
  </w:style>
  <w:style w:type="paragraph" w:styleId="CommentSubject">
    <w:name w:val="annotation subject"/>
    <w:basedOn w:val="CommentText"/>
    <w:next w:val="CommentText"/>
    <w:link w:val="CommentSubjectChar"/>
    <w:uiPriority w:val="99"/>
    <w:semiHidden/>
    <w:unhideWhenUsed/>
    <w:rsid w:val="004B3699"/>
    <w:rPr>
      <w:b/>
      <w:bCs/>
    </w:rPr>
  </w:style>
  <w:style w:type="character" w:customStyle="1" w:styleId="CommentSubjectChar">
    <w:name w:val="Comment Subject Char"/>
    <w:basedOn w:val="CommentTextChar"/>
    <w:link w:val="CommentSubject"/>
    <w:uiPriority w:val="99"/>
    <w:semiHidden/>
    <w:rsid w:val="004B3699"/>
    <w:rPr>
      <w:b/>
      <w:bCs/>
      <w:sz w:val="20"/>
      <w:szCs w:val="20"/>
    </w:rPr>
  </w:style>
  <w:style w:type="paragraph" w:styleId="BalloonText">
    <w:name w:val="Balloon Text"/>
    <w:basedOn w:val="Normal"/>
    <w:link w:val="BalloonTextChar"/>
    <w:uiPriority w:val="99"/>
    <w:semiHidden/>
    <w:unhideWhenUsed/>
    <w:rsid w:val="004B36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699"/>
    <w:rPr>
      <w:rFonts w:ascii="Segoe UI" w:hAnsi="Segoe UI" w:cs="Segoe UI"/>
      <w:sz w:val="18"/>
      <w:szCs w:val="18"/>
    </w:rPr>
  </w:style>
  <w:style w:type="paragraph" w:customStyle="1" w:styleId="MOTLevel1NumberedParagraph">
    <w:name w:val="MOT Level 1 Numbered Paragraph"/>
    <w:uiPriority w:val="99"/>
    <w:qFormat/>
    <w:rsid w:val="0025597D"/>
    <w:pPr>
      <w:numPr>
        <w:numId w:val="1"/>
      </w:numPr>
      <w:spacing w:after="220" w:line="240" w:lineRule="auto"/>
    </w:pPr>
    <w:rPr>
      <w:rFonts w:eastAsia="Calibri" w:cs="Times New Roman"/>
    </w:rPr>
  </w:style>
  <w:style w:type="paragraph" w:customStyle="1" w:styleId="MOTLevel2NumberedParagraph">
    <w:name w:val="MOT Level 2 Numbered Paragraph"/>
    <w:basedOn w:val="MOTLevel1NumberedParagraph"/>
    <w:uiPriority w:val="99"/>
    <w:qFormat/>
    <w:rsid w:val="0025597D"/>
    <w:pPr>
      <w:numPr>
        <w:ilvl w:val="1"/>
      </w:numPr>
      <w:spacing w:line="280" w:lineRule="exact"/>
    </w:pPr>
  </w:style>
  <w:style w:type="paragraph" w:customStyle="1" w:styleId="MOTLevel3NumberedParagraph">
    <w:name w:val="MOT Level 3 Numbered Paragraph"/>
    <w:basedOn w:val="MOTLevel2NumberedParagraph"/>
    <w:uiPriority w:val="99"/>
    <w:qFormat/>
    <w:rsid w:val="0025597D"/>
    <w:pPr>
      <w:numPr>
        <w:ilvl w:val="2"/>
      </w:numPr>
    </w:pPr>
  </w:style>
  <w:style w:type="paragraph" w:customStyle="1" w:styleId="MOTLevel4NumberedParagraph">
    <w:name w:val="MOT Level 4 Numbered Paragraph"/>
    <w:basedOn w:val="MOTLevel3NumberedParagraph"/>
    <w:uiPriority w:val="99"/>
    <w:qFormat/>
    <w:rsid w:val="0025597D"/>
    <w:pPr>
      <w:numPr>
        <w:ilvl w:val="3"/>
      </w:numPr>
    </w:pPr>
  </w:style>
  <w:style w:type="paragraph" w:styleId="Subtitle">
    <w:name w:val="Subtitle"/>
    <w:basedOn w:val="Normal"/>
    <w:next w:val="Normal"/>
    <w:link w:val="SubtitleChar"/>
    <w:uiPriority w:val="11"/>
    <w:qFormat/>
    <w:rsid w:val="005960A5"/>
    <w:rPr>
      <w:i/>
      <w:sz w:val="20"/>
      <w:szCs w:val="20"/>
    </w:rPr>
  </w:style>
  <w:style w:type="character" w:customStyle="1" w:styleId="SubtitleChar">
    <w:name w:val="Subtitle Char"/>
    <w:basedOn w:val="DefaultParagraphFont"/>
    <w:link w:val="Subtitle"/>
    <w:uiPriority w:val="11"/>
    <w:rsid w:val="005960A5"/>
    <w:rPr>
      <w:i/>
      <w:sz w:val="20"/>
      <w:szCs w:val="20"/>
    </w:rPr>
  </w:style>
  <w:style w:type="character" w:styleId="Hyperlink">
    <w:name w:val="Hyperlink"/>
    <w:basedOn w:val="DefaultParagraphFont"/>
    <w:uiPriority w:val="99"/>
    <w:unhideWhenUsed/>
    <w:rsid w:val="00C53EE6"/>
    <w:rPr>
      <w:color w:val="0000FF" w:themeColor="hyperlink"/>
      <w:u w:val="single"/>
    </w:rPr>
  </w:style>
  <w:style w:type="character" w:customStyle="1" w:styleId="IntablebulletpointsChar">
    <w:name w:val="In table bullet points Char"/>
    <w:basedOn w:val="DefaultParagraphFont"/>
    <w:link w:val="Intablebulletpoints"/>
    <w:locked/>
    <w:rsid w:val="002F0CC3"/>
    <w:rPr>
      <w:rFonts w:asciiTheme="minorHAnsi" w:hAnsiTheme="minorHAnsi" w:cstheme="minorHAnsi"/>
      <w:color w:val="000000" w:themeColor="text1"/>
      <w:sz w:val="20"/>
      <w:szCs w:val="20"/>
    </w:rPr>
  </w:style>
  <w:style w:type="paragraph" w:customStyle="1" w:styleId="Intablebulletpoints">
    <w:name w:val="In table bullet points"/>
    <w:basedOn w:val="ListParagraph"/>
    <w:link w:val="IntablebulletpointsChar"/>
    <w:qFormat/>
    <w:rsid w:val="002F0CC3"/>
    <w:pPr>
      <w:numPr>
        <w:numId w:val="2"/>
      </w:numPr>
      <w:spacing w:after="0" w:line="240" w:lineRule="auto"/>
      <w:ind w:left="460" w:hanging="283"/>
    </w:pPr>
    <w:rPr>
      <w:rFonts w:asciiTheme="minorHAnsi" w:hAnsiTheme="minorHAnsi" w:cstheme="minorHAnsi"/>
      <w:color w:val="000000" w:themeColor="text1"/>
      <w:sz w:val="20"/>
      <w:szCs w:val="20"/>
    </w:rPr>
  </w:style>
  <w:style w:type="table" w:styleId="TableGrid">
    <w:name w:val="Table Grid"/>
    <w:basedOn w:val="TableNormal"/>
    <w:uiPriority w:val="39"/>
    <w:rsid w:val="00185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70C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CFF"/>
    <w:rPr>
      <w:sz w:val="20"/>
      <w:szCs w:val="20"/>
    </w:rPr>
  </w:style>
  <w:style w:type="character" w:styleId="FootnoteReference">
    <w:name w:val="footnote reference"/>
    <w:basedOn w:val="DefaultParagraphFont"/>
    <w:uiPriority w:val="99"/>
    <w:semiHidden/>
    <w:unhideWhenUsed/>
    <w:rsid w:val="00770CFF"/>
    <w:rPr>
      <w:vertAlign w:val="superscript"/>
    </w:rPr>
  </w:style>
  <w:style w:type="table" w:styleId="GridTable4-Accent4">
    <w:name w:val="Grid Table 4 Accent 4"/>
    <w:basedOn w:val="TableNormal"/>
    <w:uiPriority w:val="49"/>
    <w:rsid w:val="002D335C"/>
    <w:pPr>
      <w:spacing w:after="0" w:line="240" w:lineRule="auto"/>
    </w:pPr>
    <w:tblPr>
      <w:tblStyleRowBandSize w:val="1"/>
      <w:tblStyleColBandSize w:val="1"/>
      <w:tblBorders>
        <w:top w:val="single" w:sz="4" w:space="0" w:color="FFC560" w:themeColor="accent4" w:themeTint="99"/>
        <w:left w:val="single" w:sz="4" w:space="0" w:color="FFC560" w:themeColor="accent4" w:themeTint="99"/>
        <w:bottom w:val="single" w:sz="4" w:space="0" w:color="FFC560" w:themeColor="accent4" w:themeTint="99"/>
        <w:right w:val="single" w:sz="4" w:space="0" w:color="FFC560" w:themeColor="accent4" w:themeTint="99"/>
        <w:insideH w:val="single" w:sz="4" w:space="0" w:color="FFC560" w:themeColor="accent4" w:themeTint="99"/>
        <w:insideV w:val="single" w:sz="4" w:space="0" w:color="FFC560" w:themeColor="accent4" w:themeTint="99"/>
      </w:tblBorders>
    </w:tblPr>
    <w:tblStylePr w:type="firstRow">
      <w:rPr>
        <w:b/>
        <w:bCs/>
        <w:color w:val="FFFFFF" w:themeColor="background1"/>
      </w:rPr>
      <w:tblPr/>
      <w:tcPr>
        <w:tcBorders>
          <w:top w:val="single" w:sz="4" w:space="0" w:color="F69E00" w:themeColor="accent4"/>
          <w:left w:val="single" w:sz="4" w:space="0" w:color="F69E00" w:themeColor="accent4"/>
          <w:bottom w:val="single" w:sz="4" w:space="0" w:color="F69E00" w:themeColor="accent4"/>
          <w:right w:val="single" w:sz="4" w:space="0" w:color="F69E00" w:themeColor="accent4"/>
          <w:insideH w:val="nil"/>
          <w:insideV w:val="nil"/>
        </w:tcBorders>
        <w:shd w:val="clear" w:color="auto" w:fill="F69E00" w:themeFill="accent4"/>
      </w:tcPr>
    </w:tblStylePr>
    <w:tblStylePr w:type="lastRow">
      <w:rPr>
        <w:b/>
        <w:bCs/>
      </w:rPr>
      <w:tblPr/>
      <w:tcPr>
        <w:tcBorders>
          <w:top w:val="double" w:sz="4" w:space="0" w:color="F69E00" w:themeColor="accent4"/>
        </w:tcBorders>
      </w:tcPr>
    </w:tblStylePr>
    <w:tblStylePr w:type="firstCol">
      <w:rPr>
        <w:b/>
        <w:bCs/>
      </w:rPr>
    </w:tblStylePr>
    <w:tblStylePr w:type="lastCol">
      <w:rPr>
        <w:b/>
        <w:bCs/>
      </w:rPr>
    </w:tblStylePr>
    <w:tblStylePr w:type="band1Vert">
      <w:tblPr/>
      <w:tcPr>
        <w:shd w:val="clear" w:color="auto" w:fill="FFEBCA" w:themeFill="accent4" w:themeFillTint="33"/>
      </w:tcPr>
    </w:tblStylePr>
    <w:tblStylePr w:type="band1Horz">
      <w:tblPr/>
      <w:tcPr>
        <w:shd w:val="clear" w:color="auto" w:fill="FFEBCA" w:themeFill="accent4" w:themeFillTint="33"/>
      </w:tcPr>
    </w:tblStylePr>
  </w:style>
  <w:style w:type="table" w:styleId="GridTable4-Accent6">
    <w:name w:val="Grid Table 4 Accent 6"/>
    <w:basedOn w:val="TableNormal"/>
    <w:uiPriority w:val="49"/>
    <w:rsid w:val="002D335C"/>
    <w:pPr>
      <w:spacing w:after="0" w:line="240" w:lineRule="auto"/>
    </w:pPr>
    <w:tblPr>
      <w:tblStyleRowBandSize w:val="1"/>
      <w:tblStyleColBandSize w:val="1"/>
      <w:tblBorders>
        <w:top w:val="single" w:sz="4" w:space="0" w:color="7FD679" w:themeColor="accent6" w:themeTint="99"/>
        <w:left w:val="single" w:sz="4" w:space="0" w:color="7FD679" w:themeColor="accent6" w:themeTint="99"/>
        <w:bottom w:val="single" w:sz="4" w:space="0" w:color="7FD679" w:themeColor="accent6" w:themeTint="99"/>
        <w:right w:val="single" w:sz="4" w:space="0" w:color="7FD679" w:themeColor="accent6" w:themeTint="99"/>
        <w:insideH w:val="single" w:sz="4" w:space="0" w:color="7FD679" w:themeColor="accent6" w:themeTint="99"/>
        <w:insideV w:val="single" w:sz="4" w:space="0" w:color="7FD679" w:themeColor="accent6" w:themeTint="99"/>
      </w:tblBorders>
    </w:tblPr>
    <w:tblStylePr w:type="firstRow">
      <w:rPr>
        <w:b/>
        <w:bCs/>
        <w:color w:val="FFFFFF" w:themeColor="background1"/>
      </w:rPr>
      <w:tblPr/>
      <w:tcPr>
        <w:tcBorders>
          <w:top w:val="single" w:sz="4" w:space="0" w:color="3BA933" w:themeColor="accent6"/>
          <w:left w:val="single" w:sz="4" w:space="0" w:color="3BA933" w:themeColor="accent6"/>
          <w:bottom w:val="single" w:sz="4" w:space="0" w:color="3BA933" w:themeColor="accent6"/>
          <w:right w:val="single" w:sz="4" w:space="0" w:color="3BA933" w:themeColor="accent6"/>
          <w:insideH w:val="nil"/>
          <w:insideV w:val="nil"/>
        </w:tcBorders>
        <w:shd w:val="clear" w:color="auto" w:fill="3BA933" w:themeFill="accent6"/>
      </w:tcPr>
    </w:tblStylePr>
    <w:tblStylePr w:type="lastRow">
      <w:rPr>
        <w:b/>
        <w:bCs/>
      </w:rPr>
      <w:tblPr/>
      <w:tcPr>
        <w:tcBorders>
          <w:top w:val="double" w:sz="4" w:space="0" w:color="3BA933" w:themeColor="accent6"/>
        </w:tcBorders>
      </w:tcPr>
    </w:tblStylePr>
    <w:tblStylePr w:type="firstCol">
      <w:rPr>
        <w:b/>
        <w:bCs/>
      </w:rPr>
    </w:tblStylePr>
    <w:tblStylePr w:type="lastCol">
      <w:rPr>
        <w:b/>
        <w:bCs/>
      </w:rPr>
    </w:tblStylePr>
    <w:tblStylePr w:type="band1Vert">
      <w:tblPr/>
      <w:tcPr>
        <w:shd w:val="clear" w:color="auto" w:fill="D4F1D2" w:themeFill="accent6" w:themeFillTint="33"/>
      </w:tcPr>
    </w:tblStylePr>
    <w:tblStylePr w:type="band1Horz">
      <w:tblPr/>
      <w:tcPr>
        <w:shd w:val="clear" w:color="auto" w:fill="D4F1D2" w:themeFill="accent6" w:themeFillTint="33"/>
      </w:tcPr>
    </w:tblStylePr>
  </w:style>
  <w:style w:type="table" w:styleId="GridTable4-Accent2">
    <w:name w:val="Grid Table 4 Accent 2"/>
    <w:basedOn w:val="TableNormal"/>
    <w:uiPriority w:val="49"/>
    <w:rsid w:val="00173CC3"/>
    <w:pPr>
      <w:spacing w:after="0" w:line="240" w:lineRule="auto"/>
    </w:pPr>
    <w:tblPr>
      <w:tblStyleRowBandSize w:val="1"/>
      <w:tblStyleColBandSize w:val="1"/>
      <w:tblBorders>
        <w:top w:val="single" w:sz="4" w:space="0" w:color="DCF161" w:themeColor="accent2" w:themeTint="99"/>
        <w:left w:val="single" w:sz="4" w:space="0" w:color="DCF161" w:themeColor="accent2" w:themeTint="99"/>
        <w:bottom w:val="single" w:sz="4" w:space="0" w:color="DCF161" w:themeColor="accent2" w:themeTint="99"/>
        <w:right w:val="single" w:sz="4" w:space="0" w:color="DCF161" w:themeColor="accent2" w:themeTint="99"/>
        <w:insideH w:val="single" w:sz="4" w:space="0" w:color="DCF161" w:themeColor="accent2" w:themeTint="99"/>
        <w:insideV w:val="single" w:sz="4" w:space="0" w:color="DCF161" w:themeColor="accent2" w:themeTint="99"/>
      </w:tblBorders>
    </w:tblPr>
    <w:tblStylePr w:type="firstRow">
      <w:rPr>
        <w:b/>
        <w:bCs/>
        <w:color w:val="FFFFFF" w:themeColor="background1"/>
      </w:rPr>
      <w:tblPr/>
      <w:tcPr>
        <w:tcBorders>
          <w:top w:val="single" w:sz="4" w:space="0" w:color="B4D012" w:themeColor="accent2"/>
          <w:left w:val="single" w:sz="4" w:space="0" w:color="B4D012" w:themeColor="accent2"/>
          <w:bottom w:val="single" w:sz="4" w:space="0" w:color="B4D012" w:themeColor="accent2"/>
          <w:right w:val="single" w:sz="4" w:space="0" w:color="B4D012" w:themeColor="accent2"/>
          <w:insideH w:val="nil"/>
          <w:insideV w:val="nil"/>
        </w:tcBorders>
        <w:shd w:val="clear" w:color="auto" w:fill="B4D012" w:themeFill="accent2"/>
      </w:tcPr>
    </w:tblStylePr>
    <w:tblStylePr w:type="lastRow">
      <w:rPr>
        <w:b/>
        <w:bCs/>
      </w:rPr>
      <w:tblPr/>
      <w:tcPr>
        <w:tcBorders>
          <w:top w:val="double" w:sz="4" w:space="0" w:color="B4D012" w:themeColor="accent2"/>
        </w:tcBorders>
      </w:tcPr>
    </w:tblStylePr>
    <w:tblStylePr w:type="firstCol">
      <w:rPr>
        <w:b/>
        <w:bCs/>
      </w:rPr>
    </w:tblStylePr>
    <w:tblStylePr w:type="lastCol">
      <w:rPr>
        <w:b/>
        <w:bCs/>
      </w:rPr>
    </w:tblStylePr>
    <w:tblStylePr w:type="band1Vert">
      <w:tblPr/>
      <w:tcPr>
        <w:shd w:val="clear" w:color="auto" w:fill="F3FACA" w:themeFill="accent2" w:themeFillTint="33"/>
      </w:tcPr>
    </w:tblStylePr>
    <w:tblStylePr w:type="band1Horz">
      <w:tblPr/>
      <w:tcPr>
        <w:shd w:val="clear" w:color="auto" w:fill="F3FACA" w:themeFill="accent2" w:themeFillTint="33"/>
      </w:tcPr>
    </w:tblStylePr>
  </w:style>
  <w:style w:type="table" w:styleId="GridTable4-Accent1">
    <w:name w:val="Grid Table 4 Accent 1"/>
    <w:basedOn w:val="TableNormal"/>
    <w:uiPriority w:val="49"/>
    <w:rsid w:val="003A6C10"/>
    <w:pPr>
      <w:spacing w:after="0" w:line="240" w:lineRule="auto"/>
    </w:pPr>
    <w:tblPr>
      <w:tblStyleRowBandSize w:val="1"/>
      <w:tblStyleColBandSize w:val="1"/>
      <w:tblBorders>
        <w:top w:val="single" w:sz="4" w:space="0" w:color="5CCFFF" w:themeColor="accent1" w:themeTint="99"/>
        <w:left w:val="single" w:sz="4" w:space="0" w:color="5CCFFF" w:themeColor="accent1" w:themeTint="99"/>
        <w:bottom w:val="single" w:sz="4" w:space="0" w:color="5CCFFF" w:themeColor="accent1" w:themeTint="99"/>
        <w:right w:val="single" w:sz="4" w:space="0" w:color="5CCFFF" w:themeColor="accent1" w:themeTint="99"/>
        <w:insideH w:val="single" w:sz="4" w:space="0" w:color="5CCFFF" w:themeColor="accent1" w:themeTint="99"/>
        <w:insideV w:val="single" w:sz="4" w:space="0" w:color="5CCFFF" w:themeColor="accent1" w:themeTint="99"/>
      </w:tblBorders>
    </w:tblPr>
    <w:tblStylePr w:type="firstRow">
      <w:rPr>
        <w:b/>
        <w:bCs/>
        <w:color w:val="FFFFFF" w:themeColor="background1"/>
      </w:rPr>
      <w:tblPr/>
      <w:tcPr>
        <w:tcBorders>
          <w:top w:val="single" w:sz="4" w:space="0" w:color="00A9EF" w:themeColor="accent1"/>
          <w:left w:val="single" w:sz="4" w:space="0" w:color="00A9EF" w:themeColor="accent1"/>
          <w:bottom w:val="single" w:sz="4" w:space="0" w:color="00A9EF" w:themeColor="accent1"/>
          <w:right w:val="single" w:sz="4" w:space="0" w:color="00A9EF" w:themeColor="accent1"/>
          <w:insideH w:val="nil"/>
          <w:insideV w:val="nil"/>
        </w:tcBorders>
        <w:shd w:val="clear" w:color="auto" w:fill="00A9EF" w:themeFill="accent1"/>
      </w:tcPr>
    </w:tblStylePr>
    <w:tblStylePr w:type="lastRow">
      <w:rPr>
        <w:b/>
        <w:bCs/>
      </w:rPr>
      <w:tblPr/>
      <w:tcPr>
        <w:tcBorders>
          <w:top w:val="double" w:sz="4" w:space="0" w:color="00A9EF" w:themeColor="accent1"/>
        </w:tcBorders>
      </w:tcPr>
    </w:tblStylePr>
    <w:tblStylePr w:type="firstCol">
      <w:rPr>
        <w:b/>
        <w:bCs/>
      </w:rPr>
    </w:tblStylePr>
    <w:tblStylePr w:type="lastCol">
      <w:rPr>
        <w:b/>
        <w:bCs/>
      </w:rPr>
    </w:tblStylePr>
    <w:tblStylePr w:type="band1Vert">
      <w:tblPr/>
      <w:tcPr>
        <w:shd w:val="clear" w:color="auto" w:fill="C8EFFF" w:themeFill="accent1" w:themeFillTint="33"/>
      </w:tcPr>
    </w:tblStylePr>
    <w:tblStylePr w:type="band1Horz">
      <w:tblPr/>
      <w:tcPr>
        <w:shd w:val="clear" w:color="auto" w:fill="C8EFFF" w:themeFill="accent1" w:themeFillTint="33"/>
      </w:tcPr>
    </w:tblStylePr>
  </w:style>
  <w:style w:type="table" w:styleId="GridTable4-Accent5">
    <w:name w:val="Grid Table 4 Accent 5"/>
    <w:basedOn w:val="TableNormal"/>
    <w:uiPriority w:val="49"/>
    <w:rsid w:val="00A43135"/>
    <w:pPr>
      <w:spacing w:after="0" w:line="240" w:lineRule="auto"/>
    </w:pPr>
    <w:tblPr>
      <w:tblStyleRowBandSize w:val="1"/>
      <w:tblStyleColBandSize w:val="1"/>
      <w:tblBorders>
        <w:top w:val="single" w:sz="4" w:space="0" w:color="25FFF3" w:themeColor="accent5" w:themeTint="99"/>
        <w:left w:val="single" w:sz="4" w:space="0" w:color="25FFF3" w:themeColor="accent5" w:themeTint="99"/>
        <w:bottom w:val="single" w:sz="4" w:space="0" w:color="25FFF3" w:themeColor="accent5" w:themeTint="99"/>
        <w:right w:val="single" w:sz="4" w:space="0" w:color="25FFF3" w:themeColor="accent5" w:themeTint="99"/>
        <w:insideH w:val="single" w:sz="4" w:space="0" w:color="25FFF3" w:themeColor="accent5" w:themeTint="99"/>
        <w:insideV w:val="single" w:sz="4" w:space="0" w:color="25FFF3" w:themeColor="accent5" w:themeTint="99"/>
      </w:tblBorders>
    </w:tblPr>
    <w:tblStylePr w:type="firstRow">
      <w:rPr>
        <w:b/>
        <w:bCs/>
        <w:color w:val="FFFFFF" w:themeColor="background1"/>
      </w:rPr>
      <w:tblPr/>
      <w:tcPr>
        <w:tcBorders>
          <w:top w:val="single" w:sz="4" w:space="0" w:color="00938C" w:themeColor="accent5"/>
          <w:left w:val="single" w:sz="4" w:space="0" w:color="00938C" w:themeColor="accent5"/>
          <w:bottom w:val="single" w:sz="4" w:space="0" w:color="00938C" w:themeColor="accent5"/>
          <w:right w:val="single" w:sz="4" w:space="0" w:color="00938C" w:themeColor="accent5"/>
          <w:insideH w:val="nil"/>
          <w:insideV w:val="nil"/>
        </w:tcBorders>
        <w:shd w:val="clear" w:color="auto" w:fill="00938C" w:themeFill="accent5"/>
      </w:tcPr>
    </w:tblStylePr>
    <w:tblStylePr w:type="lastRow">
      <w:rPr>
        <w:b/>
        <w:bCs/>
      </w:rPr>
      <w:tblPr/>
      <w:tcPr>
        <w:tcBorders>
          <w:top w:val="double" w:sz="4" w:space="0" w:color="00938C" w:themeColor="accent5"/>
        </w:tcBorders>
      </w:tcPr>
    </w:tblStylePr>
    <w:tblStylePr w:type="firstCol">
      <w:rPr>
        <w:b/>
        <w:bCs/>
      </w:rPr>
    </w:tblStylePr>
    <w:tblStylePr w:type="lastCol">
      <w:rPr>
        <w:b/>
        <w:bCs/>
      </w:rPr>
    </w:tblStylePr>
    <w:tblStylePr w:type="band1Vert">
      <w:tblPr/>
      <w:tcPr>
        <w:shd w:val="clear" w:color="auto" w:fill="B6FFFB" w:themeFill="accent5" w:themeFillTint="33"/>
      </w:tcPr>
    </w:tblStylePr>
    <w:tblStylePr w:type="band1Horz">
      <w:tblPr/>
      <w:tcPr>
        <w:shd w:val="clear" w:color="auto" w:fill="B6FFFB" w:themeFill="accent5" w:themeFillTint="33"/>
      </w:tcPr>
    </w:tblStylePr>
  </w:style>
  <w:style w:type="table" w:styleId="GridTable5Dark-Accent1">
    <w:name w:val="Grid Table 5 Dark Accent 1"/>
    <w:basedOn w:val="TableNormal"/>
    <w:uiPriority w:val="50"/>
    <w:rsid w:val="00A4313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E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E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E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E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EF" w:themeFill="accent1"/>
      </w:tcPr>
    </w:tblStylePr>
    <w:tblStylePr w:type="band1Vert">
      <w:tblPr/>
      <w:tcPr>
        <w:shd w:val="clear" w:color="auto" w:fill="92DFFF" w:themeFill="accent1" w:themeFillTint="66"/>
      </w:tcPr>
    </w:tblStylePr>
    <w:tblStylePr w:type="band1Horz">
      <w:tblPr/>
      <w:tcPr>
        <w:shd w:val="clear" w:color="auto" w:fill="92DFFF" w:themeFill="accent1" w:themeFillTint="66"/>
      </w:tcPr>
    </w:tblStylePr>
  </w:style>
  <w:style w:type="paragraph" w:styleId="Header">
    <w:name w:val="header"/>
    <w:basedOn w:val="Normal"/>
    <w:link w:val="HeaderChar"/>
    <w:uiPriority w:val="99"/>
    <w:unhideWhenUsed/>
    <w:rsid w:val="009002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240"/>
  </w:style>
  <w:style w:type="paragraph" w:styleId="Footer">
    <w:name w:val="footer"/>
    <w:basedOn w:val="Normal"/>
    <w:link w:val="FooterChar"/>
    <w:uiPriority w:val="99"/>
    <w:unhideWhenUsed/>
    <w:rsid w:val="009002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240"/>
  </w:style>
  <w:style w:type="paragraph" w:styleId="Caption">
    <w:name w:val="caption"/>
    <w:basedOn w:val="Normal"/>
    <w:next w:val="Normal"/>
    <w:uiPriority w:val="35"/>
    <w:unhideWhenUsed/>
    <w:qFormat/>
    <w:rsid w:val="001062A1"/>
    <w:pPr>
      <w:spacing w:after="200" w:line="240" w:lineRule="auto"/>
    </w:pPr>
    <w:rPr>
      <w:i/>
      <w:iCs/>
      <w:color w:val="58585A" w:themeColor="text2"/>
      <w:sz w:val="18"/>
      <w:szCs w:val="18"/>
    </w:rPr>
  </w:style>
  <w:style w:type="character" w:styleId="FollowedHyperlink">
    <w:name w:val="FollowedHyperlink"/>
    <w:basedOn w:val="DefaultParagraphFont"/>
    <w:uiPriority w:val="99"/>
    <w:semiHidden/>
    <w:unhideWhenUsed/>
    <w:rsid w:val="00E27BB2"/>
    <w:rPr>
      <w:color w:val="800080" w:themeColor="followedHyperlink"/>
      <w:u w:val="single"/>
    </w:rPr>
  </w:style>
  <w:style w:type="character" w:styleId="Emphasis">
    <w:name w:val="Emphasis"/>
    <w:basedOn w:val="DefaultParagraphFont"/>
    <w:uiPriority w:val="20"/>
    <w:qFormat/>
    <w:rsid w:val="00537954"/>
    <w:rPr>
      <w:i/>
      <w:iCs/>
    </w:rPr>
  </w:style>
  <w:style w:type="paragraph" w:styleId="NormalWeb">
    <w:name w:val="Normal (Web)"/>
    <w:basedOn w:val="Normal"/>
    <w:uiPriority w:val="99"/>
    <w:unhideWhenUsed/>
    <w:rsid w:val="0050642D"/>
    <w:pPr>
      <w:spacing w:after="135" w:line="240" w:lineRule="auto"/>
    </w:pPr>
    <w:rPr>
      <w:rFonts w:ascii="Times New Roman" w:eastAsia="Times New Roman" w:hAnsi="Times New Roman" w:cs="Times New Roman"/>
      <w:sz w:val="24"/>
      <w:szCs w:val="24"/>
      <w:lang w:eastAsia="en-NZ"/>
    </w:rPr>
  </w:style>
  <w:style w:type="paragraph" w:styleId="NoSpacing">
    <w:name w:val="No Spacing"/>
    <w:uiPriority w:val="1"/>
    <w:qFormat/>
    <w:rsid w:val="00075261"/>
    <w:pPr>
      <w:spacing w:after="0" w:line="240" w:lineRule="auto"/>
    </w:pPr>
  </w:style>
  <w:style w:type="paragraph" w:customStyle="1" w:styleId="def-p-margin">
    <w:name w:val="def-p-margin"/>
    <w:basedOn w:val="Normal"/>
    <w:rsid w:val="008325E1"/>
    <w:pPr>
      <w:spacing w:after="105" w:line="240" w:lineRule="auto"/>
      <w:jc w:val="both"/>
    </w:pPr>
    <w:rPr>
      <w:rFonts w:ascii="Times New Roman" w:eastAsia="Times New Roman" w:hAnsi="Times New Roman" w:cs="Times New Roman"/>
      <w:sz w:val="24"/>
      <w:szCs w:val="24"/>
      <w:lang w:eastAsia="en-NZ"/>
    </w:rPr>
  </w:style>
  <w:style w:type="character" w:styleId="BookTitle">
    <w:name w:val="Book Title"/>
    <w:basedOn w:val="DefaultParagraphFont"/>
    <w:uiPriority w:val="33"/>
    <w:qFormat/>
    <w:rsid w:val="001135DF"/>
    <w:rPr>
      <w:b/>
      <w:bCs/>
      <w:i/>
      <w:iCs/>
      <w:spacing w:val="5"/>
    </w:rPr>
  </w:style>
  <w:style w:type="table" w:styleId="GridTable5Dark-Accent5">
    <w:name w:val="Grid Table 5 Dark Accent 5"/>
    <w:basedOn w:val="TableNormal"/>
    <w:uiPriority w:val="50"/>
    <w:rsid w:val="00F779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6FFF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3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3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3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38C" w:themeFill="accent5"/>
      </w:tcPr>
    </w:tblStylePr>
    <w:tblStylePr w:type="band1Vert">
      <w:tblPr/>
      <w:tcPr>
        <w:shd w:val="clear" w:color="auto" w:fill="6DFFF7" w:themeFill="accent5" w:themeFillTint="66"/>
      </w:tcPr>
    </w:tblStylePr>
    <w:tblStylePr w:type="band1Horz">
      <w:tblPr/>
      <w:tcPr>
        <w:shd w:val="clear" w:color="auto" w:fill="6DFFF7" w:themeFill="accent5" w:themeFillTint="66"/>
      </w:tcPr>
    </w:tblStylePr>
  </w:style>
  <w:style w:type="paragraph" w:customStyle="1" w:styleId="Default">
    <w:name w:val="Default"/>
    <w:rsid w:val="00CE4BAA"/>
    <w:pPr>
      <w:autoSpaceDE w:val="0"/>
      <w:autoSpaceDN w:val="0"/>
      <w:adjustRightInd w:val="0"/>
      <w:spacing w:after="0" w:line="240" w:lineRule="auto"/>
    </w:pPr>
    <w:rPr>
      <w:color w:val="000000"/>
      <w:sz w:val="24"/>
      <w:szCs w:val="24"/>
    </w:rPr>
  </w:style>
  <w:style w:type="paragraph" w:styleId="Revision">
    <w:name w:val="Revision"/>
    <w:hidden/>
    <w:uiPriority w:val="99"/>
    <w:semiHidden/>
    <w:rsid w:val="00266174"/>
    <w:pPr>
      <w:spacing w:after="0" w:line="240" w:lineRule="auto"/>
    </w:pPr>
  </w:style>
  <w:style w:type="character" w:styleId="IntenseReference">
    <w:name w:val="Intense Reference"/>
    <w:basedOn w:val="DefaultParagraphFont"/>
    <w:uiPriority w:val="32"/>
    <w:qFormat/>
    <w:rsid w:val="00623E84"/>
    <w:rPr>
      <w:b/>
      <w:bCs/>
      <w:smallCaps/>
      <w:color w:val="00A9EF" w:themeColor="accent1"/>
      <w:spacing w:val="5"/>
    </w:rPr>
  </w:style>
  <w:style w:type="table" w:styleId="GridTable4-Accent3">
    <w:name w:val="Grid Table 4 Accent 3"/>
    <w:basedOn w:val="TableNormal"/>
    <w:uiPriority w:val="49"/>
    <w:rsid w:val="00623E84"/>
    <w:pPr>
      <w:spacing w:after="0" w:line="240" w:lineRule="auto"/>
    </w:pPr>
    <w:tblPr>
      <w:tblStyleRowBandSize w:val="1"/>
      <w:tblStyleColBandSize w:val="1"/>
      <w:tblBorders>
        <w:top w:val="single" w:sz="4" w:space="0" w:color="C7C8CA" w:themeColor="accent3" w:themeTint="99"/>
        <w:left w:val="single" w:sz="4" w:space="0" w:color="C7C8CA" w:themeColor="accent3" w:themeTint="99"/>
        <w:bottom w:val="single" w:sz="4" w:space="0" w:color="C7C8CA" w:themeColor="accent3" w:themeTint="99"/>
        <w:right w:val="single" w:sz="4" w:space="0" w:color="C7C8CA" w:themeColor="accent3" w:themeTint="99"/>
        <w:insideH w:val="single" w:sz="4" w:space="0" w:color="C7C8CA" w:themeColor="accent3" w:themeTint="99"/>
        <w:insideV w:val="single" w:sz="4" w:space="0" w:color="C7C8CA" w:themeColor="accent3" w:themeTint="99"/>
      </w:tblBorders>
    </w:tblPr>
    <w:tblStylePr w:type="firstRow">
      <w:rPr>
        <w:b/>
        <w:bCs/>
        <w:color w:val="FFFFFF" w:themeColor="background1"/>
      </w:rPr>
      <w:tblPr/>
      <w:tcPr>
        <w:tcBorders>
          <w:top w:val="single" w:sz="4" w:space="0" w:color="A2A4A7" w:themeColor="accent3"/>
          <w:left w:val="single" w:sz="4" w:space="0" w:color="A2A4A7" w:themeColor="accent3"/>
          <w:bottom w:val="single" w:sz="4" w:space="0" w:color="A2A4A7" w:themeColor="accent3"/>
          <w:right w:val="single" w:sz="4" w:space="0" w:color="A2A4A7" w:themeColor="accent3"/>
          <w:insideH w:val="nil"/>
          <w:insideV w:val="nil"/>
        </w:tcBorders>
        <w:shd w:val="clear" w:color="auto" w:fill="A2A4A7" w:themeFill="accent3"/>
      </w:tcPr>
    </w:tblStylePr>
    <w:tblStylePr w:type="lastRow">
      <w:rPr>
        <w:b/>
        <w:bCs/>
      </w:rPr>
      <w:tblPr/>
      <w:tcPr>
        <w:tcBorders>
          <w:top w:val="double" w:sz="4" w:space="0" w:color="A2A4A7" w:themeColor="accent3"/>
        </w:tcBorders>
      </w:tcPr>
    </w:tblStylePr>
    <w:tblStylePr w:type="firstCol">
      <w:rPr>
        <w:b/>
        <w:bCs/>
      </w:rPr>
    </w:tblStylePr>
    <w:tblStylePr w:type="lastCol">
      <w:rPr>
        <w:b/>
        <w:bCs/>
      </w:rPr>
    </w:tblStylePr>
    <w:tblStylePr w:type="band1Vert">
      <w:tblPr/>
      <w:tcPr>
        <w:shd w:val="clear" w:color="auto" w:fill="ECECED" w:themeFill="accent3" w:themeFillTint="33"/>
      </w:tcPr>
    </w:tblStylePr>
    <w:tblStylePr w:type="band1Horz">
      <w:tblPr/>
      <w:tcPr>
        <w:shd w:val="clear" w:color="auto" w:fill="ECEC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04004">
      <w:bodyDiv w:val="1"/>
      <w:marLeft w:val="0"/>
      <w:marRight w:val="0"/>
      <w:marTop w:val="0"/>
      <w:marBottom w:val="0"/>
      <w:divBdr>
        <w:top w:val="none" w:sz="0" w:space="0" w:color="auto"/>
        <w:left w:val="none" w:sz="0" w:space="0" w:color="auto"/>
        <w:bottom w:val="none" w:sz="0" w:space="0" w:color="auto"/>
        <w:right w:val="none" w:sz="0" w:space="0" w:color="auto"/>
      </w:divBdr>
    </w:div>
    <w:div w:id="132407631">
      <w:bodyDiv w:val="1"/>
      <w:marLeft w:val="0"/>
      <w:marRight w:val="0"/>
      <w:marTop w:val="0"/>
      <w:marBottom w:val="0"/>
      <w:divBdr>
        <w:top w:val="none" w:sz="0" w:space="0" w:color="auto"/>
        <w:left w:val="none" w:sz="0" w:space="0" w:color="auto"/>
        <w:bottom w:val="none" w:sz="0" w:space="0" w:color="auto"/>
        <w:right w:val="none" w:sz="0" w:space="0" w:color="auto"/>
      </w:divBdr>
      <w:divsChild>
        <w:div w:id="666633446">
          <w:marLeft w:val="0"/>
          <w:marRight w:val="0"/>
          <w:marTop w:val="0"/>
          <w:marBottom w:val="0"/>
          <w:divBdr>
            <w:top w:val="none" w:sz="0" w:space="0" w:color="auto"/>
            <w:left w:val="none" w:sz="0" w:space="0" w:color="auto"/>
            <w:bottom w:val="none" w:sz="0" w:space="0" w:color="auto"/>
            <w:right w:val="none" w:sz="0" w:space="0" w:color="auto"/>
          </w:divBdr>
          <w:divsChild>
            <w:div w:id="735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8525">
      <w:bodyDiv w:val="1"/>
      <w:marLeft w:val="0"/>
      <w:marRight w:val="0"/>
      <w:marTop w:val="0"/>
      <w:marBottom w:val="0"/>
      <w:divBdr>
        <w:top w:val="none" w:sz="0" w:space="0" w:color="auto"/>
        <w:left w:val="none" w:sz="0" w:space="0" w:color="auto"/>
        <w:bottom w:val="none" w:sz="0" w:space="0" w:color="auto"/>
        <w:right w:val="none" w:sz="0" w:space="0" w:color="auto"/>
      </w:divBdr>
    </w:div>
    <w:div w:id="195049690">
      <w:bodyDiv w:val="1"/>
      <w:marLeft w:val="0"/>
      <w:marRight w:val="0"/>
      <w:marTop w:val="0"/>
      <w:marBottom w:val="0"/>
      <w:divBdr>
        <w:top w:val="none" w:sz="0" w:space="0" w:color="auto"/>
        <w:left w:val="none" w:sz="0" w:space="0" w:color="auto"/>
        <w:bottom w:val="none" w:sz="0" w:space="0" w:color="auto"/>
        <w:right w:val="none" w:sz="0" w:space="0" w:color="auto"/>
      </w:divBdr>
    </w:div>
    <w:div w:id="214127219">
      <w:bodyDiv w:val="1"/>
      <w:marLeft w:val="0"/>
      <w:marRight w:val="0"/>
      <w:marTop w:val="0"/>
      <w:marBottom w:val="0"/>
      <w:divBdr>
        <w:top w:val="none" w:sz="0" w:space="0" w:color="auto"/>
        <w:left w:val="none" w:sz="0" w:space="0" w:color="auto"/>
        <w:bottom w:val="none" w:sz="0" w:space="0" w:color="auto"/>
        <w:right w:val="none" w:sz="0" w:space="0" w:color="auto"/>
      </w:divBdr>
    </w:div>
    <w:div w:id="216625701">
      <w:bodyDiv w:val="1"/>
      <w:marLeft w:val="0"/>
      <w:marRight w:val="0"/>
      <w:marTop w:val="0"/>
      <w:marBottom w:val="0"/>
      <w:divBdr>
        <w:top w:val="none" w:sz="0" w:space="0" w:color="auto"/>
        <w:left w:val="none" w:sz="0" w:space="0" w:color="auto"/>
        <w:bottom w:val="none" w:sz="0" w:space="0" w:color="auto"/>
        <w:right w:val="none" w:sz="0" w:space="0" w:color="auto"/>
      </w:divBdr>
    </w:div>
    <w:div w:id="244801269">
      <w:bodyDiv w:val="1"/>
      <w:marLeft w:val="0"/>
      <w:marRight w:val="0"/>
      <w:marTop w:val="0"/>
      <w:marBottom w:val="0"/>
      <w:divBdr>
        <w:top w:val="none" w:sz="0" w:space="0" w:color="auto"/>
        <w:left w:val="none" w:sz="0" w:space="0" w:color="auto"/>
        <w:bottom w:val="none" w:sz="0" w:space="0" w:color="auto"/>
        <w:right w:val="none" w:sz="0" w:space="0" w:color="auto"/>
      </w:divBdr>
    </w:div>
    <w:div w:id="386343948">
      <w:bodyDiv w:val="1"/>
      <w:marLeft w:val="0"/>
      <w:marRight w:val="0"/>
      <w:marTop w:val="0"/>
      <w:marBottom w:val="0"/>
      <w:divBdr>
        <w:top w:val="none" w:sz="0" w:space="0" w:color="auto"/>
        <w:left w:val="none" w:sz="0" w:space="0" w:color="auto"/>
        <w:bottom w:val="none" w:sz="0" w:space="0" w:color="auto"/>
        <w:right w:val="none" w:sz="0" w:space="0" w:color="auto"/>
      </w:divBdr>
      <w:divsChild>
        <w:div w:id="481192911">
          <w:marLeft w:val="0"/>
          <w:marRight w:val="0"/>
          <w:marTop w:val="0"/>
          <w:marBottom w:val="0"/>
          <w:divBdr>
            <w:top w:val="none" w:sz="0" w:space="0" w:color="auto"/>
            <w:left w:val="none" w:sz="0" w:space="0" w:color="auto"/>
            <w:bottom w:val="none" w:sz="0" w:space="0" w:color="auto"/>
            <w:right w:val="none" w:sz="0" w:space="0" w:color="auto"/>
          </w:divBdr>
          <w:divsChild>
            <w:div w:id="14969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3702">
      <w:bodyDiv w:val="1"/>
      <w:marLeft w:val="0"/>
      <w:marRight w:val="0"/>
      <w:marTop w:val="0"/>
      <w:marBottom w:val="0"/>
      <w:divBdr>
        <w:top w:val="none" w:sz="0" w:space="0" w:color="auto"/>
        <w:left w:val="none" w:sz="0" w:space="0" w:color="auto"/>
        <w:bottom w:val="none" w:sz="0" w:space="0" w:color="auto"/>
        <w:right w:val="none" w:sz="0" w:space="0" w:color="auto"/>
      </w:divBdr>
    </w:div>
    <w:div w:id="460804632">
      <w:bodyDiv w:val="1"/>
      <w:marLeft w:val="0"/>
      <w:marRight w:val="0"/>
      <w:marTop w:val="0"/>
      <w:marBottom w:val="0"/>
      <w:divBdr>
        <w:top w:val="none" w:sz="0" w:space="0" w:color="auto"/>
        <w:left w:val="none" w:sz="0" w:space="0" w:color="auto"/>
        <w:bottom w:val="none" w:sz="0" w:space="0" w:color="auto"/>
        <w:right w:val="none" w:sz="0" w:space="0" w:color="auto"/>
      </w:divBdr>
    </w:div>
    <w:div w:id="566770683">
      <w:bodyDiv w:val="1"/>
      <w:marLeft w:val="0"/>
      <w:marRight w:val="0"/>
      <w:marTop w:val="0"/>
      <w:marBottom w:val="0"/>
      <w:divBdr>
        <w:top w:val="none" w:sz="0" w:space="0" w:color="auto"/>
        <w:left w:val="none" w:sz="0" w:space="0" w:color="auto"/>
        <w:bottom w:val="none" w:sz="0" w:space="0" w:color="auto"/>
        <w:right w:val="none" w:sz="0" w:space="0" w:color="auto"/>
      </w:divBdr>
    </w:div>
    <w:div w:id="598416527">
      <w:bodyDiv w:val="1"/>
      <w:marLeft w:val="0"/>
      <w:marRight w:val="0"/>
      <w:marTop w:val="0"/>
      <w:marBottom w:val="0"/>
      <w:divBdr>
        <w:top w:val="none" w:sz="0" w:space="0" w:color="auto"/>
        <w:left w:val="none" w:sz="0" w:space="0" w:color="auto"/>
        <w:bottom w:val="none" w:sz="0" w:space="0" w:color="auto"/>
        <w:right w:val="none" w:sz="0" w:space="0" w:color="auto"/>
      </w:divBdr>
    </w:div>
    <w:div w:id="615218962">
      <w:bodyDiv w:val="1"/>
      <w:marLeft w:val="0"/>
      <w:marRight w:val="0"/>
      <w:marTop w:val="0"/>
      <w:marBottom w:val="0"/>
      <w:divBdr>
        <w:top w:val="none" w:sz="0" w:space="0" w:color="auto"/>
        <w:left w:val="none" w:sz="0" w:space="0" w:color="auto"/>
        <w:bottom w:val="none" w:sz="0" w:space="0" w:color="auto"/>
        <w:right w:val="none" w:sz="0" w:space="0" w:color="auto"/>
      </w:divBdr>
    </w:div>
    <w:div w:id="666595740">
      <w:bodyDiv w:val="1"/>
      <w:marLeft w:val="0"/>
      <w:marRight w:val="0"/>
      <w:marTop w:val="0"/>
      <w:marBottom w:val="0"/>
      <w:divBdr>
        <w:top w:val="none" w:sz="0" w:space="0" w:color="auto"/>
        <w:left w:val="none" w:sz="0" w:space="0" w:color="auto"/>
        <w:bottom w:val="none" w:sz="0" w:space="0" w:color="auto"/>
        <w:right w:val="none" w:sz="0" w:space="0" w:color="auto"/>
      </w:divBdr>
    </w:div>
    <w:div w:id="693576128">
      <w:bodyDiv w:val="1"/>
      <w:marLeft w:val="0"/>
      <w:marRight w:val="0"/>
      <w:marTop w:val="0"/>
      <w:marBottom w:val="0"/>
      <w:divBdr>
        <w:top w:val="none" w:sz="0" w:space="0" w:color="auto"/>
        <w:left w:val="none" w:sz="0" w:space="0" w:color="auto"/>
        <w:bottom w:val="none" w:sz="0" w:space="0" w:color="auto"/>
        <w:right w:val="none" w:sz="0" w:space="0" w:color="auto"/>
      </w:divBdr>
    </w:div>
    <w:div w:id="708408844">
      <w:bodyDiv w:val="1"/>
      <w:marLeft w:val="0"/>
      <w:marRight w:val="0"/>
      <w:marTop w:val="0"/>
      <w:marBottom w:val="0"/>
      <w:divBdr>
        <w:top w:val="none" w:sz="0" w:space="0" w:color="auto"/>
        <w:left w:val="none" w:sz="0" w:space="0" w:color="auto"/>
        <w:bottom w:val="none" w:sz="0" w:space="0" w:color="auto"/>
        <w:right w:val="none" w:sz="0" w:space="0" w:color="auto"/>
      </w:divBdr>
    </w:div>
    <w:div w:id="836382663">
      <w:bodyDiv w:val="1"/>
      <w:marLeft w:val="0"/>
      <w:marRight w:val="0"/>
      <w:marTop w:val="0"/>
      <w:marBottom w:val="0"/>
      <w:divBdr>
        <w:top w:val="none" w:sz="0" w:space="0" w:color="auto"/>
        <w:left w:val="none" w:sz="0" w:space="0" w:color="auto"/>
        <w:bottom w:val="none" w:sz="0" w:space="0" w:color="auto"/>
        <w:right w:val="none" w:sz="0" w:space="0" w:color="auto"/>
      </w:divBdr>
      <w:divsChild>
        <w:div w:id="992561665">
          <w:marLeft w:val="0"/>
          <w:marRight w:val="0"/>
          <w:marTop w:val="0"/>
          <w:marBottom w:val="0"/>
          <w:divBdr>
            <w:top w:val="none" w:sz="0" w:space="0" w:color="auto"/>
            <w:left w:val="none" w:sz="0" w:space="0" w:color="auto"/>
            <w:bottom w:val="none" w:sz="0" w:space="0" w:color="auto"/>
            <w:right w:val="none" w:sz="0" w:space="0" w:color="auto"/>
          </w:divBdr>
          <w:divsChild>
            <w:div w:id="14104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6878">
      <w:bodyDiv w:val="1"/>
      <w:marLeft w:val="0"/>
      <w:marRight w:val="0"/>
      <w:marTop w:val="0"/>
      <w:marBottom w:val="0"/>
      <w:divBdr>
        <w:top w:val="none" w:sz="0" w:space="0" w:color="auto"/>
        <w:left w:val="none" w:sz="0" w:space="0" w:color="auto"/>
        <w:bottom w:val="none" w:sz="0" w:space="0" w:color="auto"/>
        <w:right w:val="none" w:sz="0" w:space="0" w:color="auto"/>
      </w:divBdr>
    </w:div>
    <w:div w:id="885724388">
      <w:bodyDiv w:val="1"/>
      <w:marLeft w:val="0"/>
      <w:marRight w:val="0"/>
      <w:marTop w:val="0"/>
      <w:marBottom w:val="0"/>
      <w:divBdr>
        <w:top w:val="none" w:sz="0" w:space="0" w:color="auto"/>
        <w:left w:val="none" w:sz="0" w:space="0" w:color="auto"/>
        <w:bottom w:val="none" w:sz="0" w:space="0" w:color="auto"/>
        <w:right w:val="none" w:sz="0" w:space="0" w:color="auto"/>
      </w:divBdr>
    </w:div>
    <w:div w:id="912081290">
      <w:bodyDiv w:val="1"/>
      <w:marLeft w:val="0"/>
      <w:marRight w:val="0"/>
      <w:marTop w:val="0"/>
      <w:marBottom w:val="0"/>
      <w:divBdr>
        <w:top w:val="none" w:sz="0" w:space="0" w:color="auto"/>
        <w:left w:val="none" w:sz="0" w:space="0" w:color="auto"/>
        <w:bottom w:val="none" w:sz="0" w:space="0" w:color="auto"/>
        <w:right w:val="none" w:sz="0" w:space="0" w:color="auto"/>
      </w:divBdr>
    </w:div>
    <w:div w:id="1085765250">
      <w:bodyDiv w:val="1"/>
      <w:marLeft w:val="0"/>
      <w:marRight w:val="0"/>
      <w:marTop w:val="0"/>
      <w:marBottom w:val="0"/>
      <w:divBdr>
        <w:top w:val="none" w:sz="0" w:space="0" w:color="auto"/>
        <w:left w:val="none" w:sz="0" w:space="0" w:color="auto"/>
        <w:bottom w:val="none" w:sz="0" w:space="0" w:color="auto"/>
        <w:right w:val="none" w:sz="0" w:space="0" w:color="auto"/>
      </w:divBdr>
    </w:div>
    <w:div w:id="1121149286">
      <w:bodyDiv w:val="1"/>
      <w:marLeft w:val="0"/>
      <w:marRight w:val="0"/>
      <w:marTop w:val="0"/>
      <w:marBottom w:val="0"/>
      <w:divBdr>
        <w:top w:val="none" w:sz="0" w:space="0" w:color="auto"/>
        <w:left w:val="none" w:sz="0" w:space="0" w:color="auto"/>
        <w:bottom w:val="none" w:sz="0" w:space="0" w:color="auto"/>
        <w:right w:val="none" w:sz="0" w:space="0" w:color="auto"/>
      </w:divBdr>
    </w:div>
    <w:div w:id="1131093128">
      <w:bodyDiv w:val="1"/>
      <w:marLeft w:val="0"/>
      <w:marRight w:val="0"/>
      <w:marTop w:val="0"/>
      <w:marBottom w:val="0"/>
      <w:divBdr>
        <w:top w:val="none" w:sz="0" w:space="0" w:color="auto"/>
        <w:left w:val="none" w:sz="0" w:space="0" w:color="auto"/>
        <w:bottom w:val="none" w:sz="0" w:space="0" w:color="auto"/>
        <w:right w:val="none" w:sz="0" w:space="0" w:color="auto"/>
      </w:divBdr>
    </w:div>
    <w:div w:id="1131634103">
      <w:bodyDiv w:val="1"/>
      <w:marLeft w:val="0"/>
      <w:marRight w:val="0"/>
      <w:marTop w:val="0"/>
      <w:marBottom w:val="0"/>
      <w:divBdr>
        <w:top w:val="none" w:sz="0" w:space="0" w:color="auto"/>
        <w:left w:val="none" w:sz="0" w:space="0" w:color="auto"/>
        <w:bottom w:val="none" w:sz="0" w:space="0" w:color="auto"/>
        <w:right w:val="none" w:sz="0" w:space="0" w:color="auto"/>
      </w:divBdr>
    </w:div>
    <w:div w:id="1132749474">
      <w:bodyDiv w:val="1"/>
      <w:marLeft w:val="0"/>
      <w:marRight w:val="0"/>
      <w:marTop w:val="0"/>
      <w:marBottom w:val="0"/>
      <w:divBdr>
        <w:top w:val="none" w:sz="0" w:space="0" w:color="auto"/>
        <w:left w:val="none" w:sz="0" w:space="0" w:color="auto"/>
        <w:bottom w:val="none" w:sz="0" w:space="0" w:color="auto"/>
        <w:right w:val="none" w:sz="0" w:space="0" w:color="auto"/>
      </w:divBdr>
    </w:div>
    <w:div w:id="1143812094">
      <w:bodyDiv w:val="1"/>
      <w:marLeft w:val="0"/>
      <w:marRight w:val="0"/>
      <w:marTop w:val="0"/>
      <w:marBottom w:val="0"/>
      <w:divBdr>
        <w:top w:val="none" w:sz="0" w:space="0" w:color="auto"/>
        <w:left w:val="none" w:sz="0" w:space="0" w:color="auto"/>
        <w:bottom w:val="none" w:sz="0" w:space="0" w:color="auto"/>
        <w:right w:val="none" w:sz="0" w:space="0" w:color="auto"/>
      </w:divBdr>
    </w:div>
    <w:div w:id="1182432383">
      <w:bodyDiv w:val="1"/>
      <w:marLeft w:val="0"/>
      <w:marRight w:val="0"/>
      <w:marTop w:val="0"/>
      <w:marBottom w:val="0"/>
      <w:divBdr>
        <w:top w:val="none" w:sz="0" w:space="0" w:color="auto"/>
        <w:left w:val="none" w:sz="0" w:space="0" w:color="auto"/>
        <w:bottom w:val="none" w:sz="0" w:space="0" w:color="auto"/>
        <w:right w:val="none" w:sz="0" w:space="0" w:color="auto"/>
      </w:divBdr>
      <w:divsChild>
        <w:div w:id="155147262">
          <w:marLeft w:val="0"/>
          <w:marRight w:val="0"/>
          <w:marTop w:val="0"/>
          <w:marBottom w:val="0"/>
          <w:divBdr>
            <w:top w:val="none" w:sz="0" w:space="0" w:color="auto"/>
            <w:left w:val="none" w:sz="0" w:space="0" w:color="auto"/>
            <w:bottom w:val="none" w:sz="0" w:space="0" w:color="auto"/>
            <w:right w:val="none" w:sz="0" w:space="0" w:color="auto"/>
          </w:divBdr>
          <w:divsChild>
            <w:div w:id="17176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0364">
      <w:bodyDiv w:val="1"/>
      <w:marLeft w:val="0"/>
      <w:marRight w:val="0"/>
      <w:marTop w:val="0"/>
      <w:marBottom w:val="0"/>
      <w:divBdr>
        <w:top w:val="none" w:sz="0" w:space="0" w:color="auto"/>
        <w:left w:val="none" w:sz="0" w:space="0" w:color="auto"/>
        <w:bottom w:val="none" w:sz="0" w:space="0" w:color="auto"/>
        <w:right w:val="none" w:sz="0" w:space="0" w:color="auto"/>
      </w:divBdr>
    </w:div>
    <w:div w:id="1252202214">
      <w:bodyDiv w:val="1"/>
      <w:marLeft w:val="0"/>
      <w:marRight w:val="0"/>
      <w:marTop w:val="0"/>
      <w:marBottom w:val="0"/>
      <w:divBdr>
        <w:top w:val="none" w:sz="0" w:space="0" w:color="auto"/>
        <w:left w:val="none" w:sz="0" w:space="0" w:color="auto"/>
        <w:bottom w:val="none" w:sz="0" w:space="0" w:color="auto"/>
        <w:right w:val="none" w:sz="0" w:space="0" w:color="auto"/>
      </w:divBdr>
      <w:divsChild>
        <w:div w:id="594485469">
          <w:marLeft w:val="0"/>
          <w:marRight w:val="0"/>
          <w:marTop w:val="0"/>
          <w:marBottom w:val="0"/>
          <w:divBdr>
            <w:top w:val="none" w:sz="0" w:space="0" w:color="auto"/>
            <w:left w:val="none" w:sz="0" w:space="0" w:color="auto"/>
            <w:bottom w:val="none" w:sz="0" w:space="0" w:color="auto"/>
            <w:right w:val="none" w:sz="0" w:space="0" w:color="auto"/>
          </w:divBdr>
          <w:divsChild>
            <w:div w:id="14108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39597">
      <w:bodyDiv w:val="1"/>
      <w:marLeft w:val="0"/>
      <w:marRight w:val="0"/>
      <w:marTop w:val="0"/>
      <w:marBottom w:val="0"/>
      <w:divBdr>
        <w:top w:val="none" w:sz="0" w:space="0" w:color="auto"/>
        <w:left w:val="none" w:sz="0" w:space="0" w:color="auto"/>
        <w:bottom w:val="none" w:sz="0" w:space="0" w:color="auto"/>
        <w:right w:val="none" w:sz="0" w:space="0" w:color="auto"/>
      </w:divBdr>
    </w:div>
    <w:div w:id="1280911565">
      <w:bodyDiv w:val="1"/>
      <w:marLeft w:val="0"/>
      <w:marRight w:val="0"/>
      <w:marTop w:val="0"/>
      <w:marBottom w:val="0"/>
      <w:divBdr>
        <w:top w:val="none" w:sz="0" w:space="0" w:color="auto"/>
        <w:left w:val="none" w:sz="0" w:space="0" w:color="auto"/>
        <w:bottom w:val="none" w:sz="0" w:space="0" w:color="auto"/>
        <w:right w:val="none" w:sz="0" w:space="0" w:color="auto"/>
      </w:divBdr>
    </w:div>
    <w:div w:id="1294290555">
      <w:bodyDiv w:val="1"/>
      <w:marLeft w:val="0"/>
      <w:marRight w:val="0"/>
      <w:marTop w:val="0"/>
      <w:marBottom w:val="0"/>
      <w:divBdr>
        <w:top w:val="none" w:sz="0" w:space="0" w:color="auto"/>
        <w:left w:val="none" w:sz="0" w:space="0" w:color="auto"/>
        <w:bottom w:val="none" w:sz="0" w:space="0" w:color="auto"/>
        <w:right w:val="none" w:sz="0" w:space="0" w:color="auto"/>
      </w:divBdr>
    </w:div>
    <w:div w:id="1305886315">
      <w:bodyDiv w:val="1"/>
      <w:marLeft w:val="0"/>
      <w:marRight w:val="0"/>
      <w:marTop w:val="0"/>
      <w:marBottom w:val="0"/>
      <w:divBdr>
        <w:top w:val="none" w:sz="0" w:space="0" w:color="auto"/>
        <w:left w:val="none" w:sz="0" w:space="0" w:color="auto"/>
        <w:bottom w:val="none" w:sz="0" w:space="0" w:color="auto"/>
        <w:right w:val="none" w:sz="0" w:space="0" w:color="auto"/>
      </w:divBdr>
    </w:div>
    <w:div w:id="1315529709">
      <w:bodyDiv w:val="1"/>
      <w:marLeft w:val="0"/>
      <w:marRight w:val="0"/>
      <w:marTop w:val="0"/>
      <w:marBottom w:val="0"/>
      <w:divBdr>
        <w:top w:val="none" w:sz="0" w:space="0" w:color="auto"/>
        <w:left w:val="none" w:sz="0" w:space="0" w:color="auto"/>
        <w:bottom w:val="none" w:sz="0" w:space="0" w:color="auto"/>
        <w:right w:val="none" w:sz="0" w:space="0" w:color="auto"/>
      </w:divBdr>
    </w:div>
    <w:div w:id="1370841500">
      <w:bodyDiv w:val="1"/>
      <w:marLeft w:val="0"/>
      <w:marRight w:val="0"/>
      <w:marTop w:val="0"/>
      <w:marBottom w:val="0"/>
      <w:divBdr>
        <w:top w:val="none" w:sz="0" w:space="0" w:color="auto"/>
        <w:left w:val="none" w:sz="0" w:space="0" w:color="auto"/>
        <w:bottom w:val="none" w:sz="0" w:space="0" w:color="auto"/>
        <w:right w:val="none" w:sz="0" w:space="0" w:color="auto"/>
      </w:divBdr>
    </w:div>
    <w:div w:id="1416979673">
      <w:bodyDiv w:val="1"/>
      <w:marLeft w:val="0"/>
      <w:marRight w:val="0"/>
      <w:marTop w:val="0"/>
      <w:marBottom w:val="0"/>
      <w:divBdr>
        <w:top w:val="none" w:sz="0" w:space="0" w:color="auto"/>
        <w:left w:val="none" w:sz="0" w:space="0" w:color="auto"/>
        <w:bottom w:val="none" w:sz="0" w:space="0" w:color="auto"/>
        <w:right w:val="none" w:sz="0" w:space="0" w:color="auto"/>
      </w:divBdr>
    </w:div>
    <w:div w:id="1436755755">
      <w:bodyDiv w:val="1"/>
      <w:marLeft w:val="0"/>
      <w:marRight w:val="0"/>
      <w:marTop w:val="0"/>
      <w:marBottom w:val="0"/>
      <w:divBdr>
        <w:top w:val="none" w:sz="0" w:space="0" w:color="auto"/>
        <w:left w:val="none" w:sz="0" w:space="0" w:color="auto"/>
        <w:bottom w:val="none" w:sz="0" w:space="0" w:color="auto"/>
        <w:right w:val="none" w:sz="0" w:space="0" w:color="auto"/>
      </w:divBdr>
    </w:div>
    <w:div w:id="1441561163">
      <w:bodyDiv w:val="1"/>
      <w:marLeft w:val="0"/>
      <w:marRight w:val="0"/>
      <w:marTop w:val="0"/>
      <w:marBottom w:val="0"/>
      <w:divBdr>
        <w:top w:val="none" w:sz="0" w:space="0" w:color="auto"/>
        <w:left w:val="none" w:sz="0" w:space="0" w:color="auto"/>
        <w:bottom w:val="none" w:sz="0" w:space="0" w:color="auto"/>
        <w:right w:val="none" w:sz="0" w:space="0" w:color="auto"/>
      </w:divBdr>
      <w:divsChild>
        <w:div w:id="1414087830">
          <w:marLeft w:val="0"/>
          <w:marRight w:val="0"/>
          <w:marTop w:val="0"/>
          <w:marBottom w:val="0"/>
          <w:divBdr>
            <w:top w:val="none" w:sz="0" w:space="0" w:color="auto"/>
            <w:left w:val="none" w:sz="0" w:space="0" w:color="auto"/>
            <w:bottom w:val="none" w:sz="0" w:space="0" w:color="auto"/>
            <w:right w:val="none" w:sz="0" w:space="0" w:color="auto"/>
          </w:divBdr>
          <w:divsChild>
            <w:div w:id="1708682380">
              <w:marLeft w:val="0"/>
              <w:marRight w:val="0"/>
              <w:marTop w:val="0"/>
              <w:marBottom w:val="0"/>
              <w:divBdr>
                <w:top w:val="none" w:sz="0" w:space="0" w:color="auto"/>
                <w:left w:val="none" w:sz="0" w:space="0" w:color="auto"/>
                <w:bottom w:val="none" w:sz="0" w:space="0" w:color="auto"/>
                <w:right w:val="none" w:sz="0" w:space="0" w:color="auto"/>
              </w:divBdr>
              <w:divsChild>
                <w:div w:id="1518618278">
                  <w:marLeft w:val="0"/>
                  <w:marRight w:val="0"/>
                  <w:marTop w:val="0"/>
                  <w:marBottom w:val="0"/>
                  <w:divBdr>
                    <w:top w:val="none" w:sz="0" w:space="0" w:color="auto"/>
                    <w:left w:val="none" w:sz="0" w:space="0" w:color="auto"/>
                    <w:bottom w:val="none" w:sz="0" w:space="0" w:color="auto"/>
                    <w:right w:val="none" w:sz="0" w:space="0" w:color="auto"/>
                  </w:divBdr>
                  <w:divsChild>
                    <w:div w:id="1058166185">
                      <w:marLeft w:val="0"/>
                      <w:marRight w:val="0"/>
                      <w:marTop w:val="0"/>
                      <w:marBottom w:val="0"/>
                      <w:divBdr>
                        <w:top w:val="none" w:sz="0" w:space="0" w:color="auto"/>
                        <w:left w:val="none" w:sz="0" w:space="0" w:color="auto"/>
                        <w:bottom w:val="none" w:sz="0" w:space="0" w:color="auto"/>
                        <w:right w:val="none" w:sz="0" w:space="0" w:color="auto"/>
                      </w:divBdr>
                      <w:divsChild>
                        <w:div w:id="1619872087">
                          <w:marLeft w:val="0"/>
                          <w:marRight w:val="0"/>
                          <w:marTop w:val="0"/>
                          <w:marBottom w:val="0"/>
                          <w:divBdr>
                            <w:top w:val="none" w:sz="0" w:space="0" w:color="auto"/>
                            <w:left w:val="none" w:sz="0" w:space="0" w:color="auto"/>
                            <w:bottom w:val="none" w:sz="0" w:space="0" w:color="auto"/>
                            <w:right w:val="none" w:sz="0" w:space="0" w:color="auto"/>
                          </w:divBdr>
                          <w:divsChild>
                            <w:div w:id="946623820">
                              <w:marLeft w:val="0"/>
                              <w:marRight w:val="0"/>
                              <w:marTop w:val="0"/>
                              <w:marBottom w:val="0"/>
                              <w:divBdr>
                                <w:top w:val="none" w:sz="0" w:space="0" w:color="auto"/>
                                <w:left w:val="none" w:sz="0" w:space="0" w:color="auto"/>
                                <w:bottom w:val="none" w:sz="0" w:space="0" w:color="auto"/>
                                <w:right w:val="none" w:sz="0" w:space="0" w:color="auto"/>
                              </w:divBdr>
                              <w:divsChild>
                                <w:div w:id="159662997">
                                  <w:marLeft w:val="0"/>
                                  <w:marRight w:val="0"/>
                                  <w:marTop w:val="0"/>
                                  <w:marBottom w:val="0"/>
                                  <w:divBdr>
                                    <w:top w:val="none" w:sz="0" w:space="0" w:color="auto"/>
                                    <w:left w:val="none" w:sz="0" w:space="0" w:color="auto"/>
                                    <w:bottom w:val="none" w:sz="0" w:space="0" w:color="auto"/>
                                    <w:right w:val="none" w:sz="0" w:space="0" w:color="auto"/>
                                  </w:divBdr>
                                  <w:divsChild>
                                    <w:div w:id="227611750">
                                      <w:marLeft w:val="0"/>
                                      <w:marRight w:val="0"/>
                                      <w:marTop w:val="0"/>
                                      <w:marBottom w:val="0"/>
                                      <w:divBdr>
                                        <w:top w:val="none" w:sz="0" w:space="0" w:color="auto"/>
                                        <w:left w:val="none" w:sz="0" w:space="0" w:color="auto"/>
                                        <w:bottom w:val="none" w:sz="0" w:space="0" w:color="auto"/>
                                        <w:right w:val="none" w:sz="0" w:space="0" w:color="auto"/>
                                      </w:divBdr>
                                      <w:divsChild>
                                        <w:div w:id="1442064701">
                                          <w:marLeft w:val="0"/>
                                          <w:marRight w:val="0"/>
                                          <w:marTop w:val="0"/>
                                          <w:marBottom w:val="0"/>
                                          <w:divBdr>
                                            <w:top w:val="none" w:sz="0" w:space="0" w:color="auto"/>
                                            <w:left w:val="none" w:sz="0" w:space="0" w:color="auto"/>
                                            <w:bottom w:val="none" w:sz="0" w:space="0" w:color="auto"/>
                                            <w:right w:val="none" w:sz="0" w:space="0" w:color="auto"/>
                                          </w:divBdr>
                                          <w:divsChild>
                                            <w:div w:id="282657531">
                                              <w:marLeft w:val="0"/>
                                              <w:marRight w:val="0"/>
                                              <w:marTop w:val="0"/>
                                              <w:marBottom w:val="0"/>
                                              <w:divBdr>
                                                <w:top w:val="none" w:sz="0" w:space="0" w:color="auto"/>
                                                <w:left w:val="none" w:sz="0" w:space="0" w:color="auto"/>
                                                <w:bottom w:val="none" w:sz="0" w:space="0" w:color="auto"/>
                                                <w:right w:val="none" w:sz="0" w:space="0" w:color="auto"/>
                                              </w:divBdr>
                                              <w:divsChild>
                                                <w:div w:id="939215974">
                                                  <w:marLeft w:val="0"/>
                                                  <w:marRight w:val="0"/>
                                                  <w:marTop w:val="0"/>
                                                  <w:marBottom w:val="0"/>
                                                  <w:divBdr>
                                                    <w:top w:val="none" w:sz="0" w:space="0" w:color="auto"/>
                                                    <w:left w:val="none" w:sz="0" w:space="0" w:color="auto"/>
                                                    <w:bottom w:val="none" w:sz="0" w:space="0" w:color="auto"/>
                                                    <w:right w:val="none" w:sz="0" w:space="0" w:color="auto"/>
                                                  </w:divBdr>
                                                  <w:divsChild>
                                                    <w:div w:id="1166936429">
                                                      <w:marLeft w:val="0"/>
                                                      <w:marRight w:val="0"/>
                                                      <w:marTop w:val="0"/>
                                                      <w:marBottom w:val="0"/>
                                                      <w:divBdr>
                                                        <w:top w:val="none" w:sz="0" w:space="0" w:color="auto"/>
                                                        <w:left w:val="none" w:sz="0" w:space="0" w:color="auto"/>
                                                        <w:bottom w:val="none" w:sz="0" w:space="0" w:color="auto"/>
                                                        <w:right w:val="none" w:sz="0" w:space="0" w:color="auto"/>
                                                      </w:divBdr>
                                                      <w:divsChild>
                                                        <w:div w:id="1844933181">
                                                          <w:marLeft w:val="0"/>
                                                          <w:marRight w:val="0"/>
                                                          <w:marTop w:val="600"/>
                                                          <w:marBottom w:val="300"/>
                                                          <w:divBdr>
                                                            <w:top w:val="none" w:sz="0" w:space="0" w:color="auto"/>
                                                            <w:left w:val="none" w:sz="0" w:space="0" w:color="auto"/>
                                                            <w:bottom w:val="none" w:sz="0" w:space="0" w:color="auto"/>
                                                            <w:right w:val="none" w:sz="0" w:space="0" w:color="auto"/>
                                                          </w:divBdr>
                                                          <w:divsChild>
                                                            <w:div w:id="1266111653">
                                                              <w:marLeft w:val="0"/>
                                                              <w:marRight w:val="0"/>
                                                              <w:marTop w:val="0"/>
                                                              <w:marBottom w:val="0"/>
                                                              <w:divBdr>
                                                                <w:top w:val="none" w:sz="0" w:space="0" w:color="auto"/>
                                                                <w:left w:val="none" w:sz="0" w:space="0" w:color="auto"/>
                                                                <w:bottom w:val="none" w:sz="0" w:space="0" w:color="auto"/>
                                                                <w:right w:val="none" w:sz="0" w:space="0" w:color="auto"/>
                                                              </w:divBdr>
                                                              <w:divsChild>
                                                                <w:div w:id="388266441">
                                                                  <w:marLeft w:val="0"/>
                                                                  <w:marRight w:val="0"/>
                                                                  <w:marTop w:val="0"/>
                                                                  <w:marBottom w:val="600"/>
                                                                  <w:divBdr>
                                                                    <w:top w:val="none" w:sz="0" w:space="0" w:color="auto"/>
                                                                    <w:left w:val="none" w:sz="0" w:space="0" w:color="auto"/>
                                                                    <w:bottom w:val="none" w:sz="0" w:space="0" w:color="auto"/>
                                                                    <w:right w:val="none" w:sz="0" w:space="0" w:color="auto"/>
                                                                  </w:divBdr>
                                                                  <w:divsChild>
                                                                    <w:div w:id="821504500">
                                                                      <w:marLeft w:val="0"/>
                                                                      <w:marRight w:val="0"/>
                                                                      <w:marTop w:val="0"/>
                                                                      <w:marBottom w:val="0"/>
                                                                      <w:divBdr>
                                                                        <w:top w:val="none" w:sz="0" w:space="0" w:color="auto"/>
                                                                        <w:left w:val="none" w:sz="0" w:space="0" w:color="auto"/>
                                                                        <w:bottom w:val="none" w:sz="0" w:space="0" w:color="auto"/>
                                                                        <w:right w:val="none" w:sz="0" w:space="0" w:color="auto"/>
                                                                      </w:divBdr>
                                                                      <w:divsChild>
                                                                        <w:div w:id="139270197">
                                                                          <w:marLeft w:val="0"/>
                                                                          <w:marRight w:val="0"/>
                                                                          <w:marTop w:val="0"/>
                                                                          <w:marBottom w:val="0"/>
                                                                          <w:divBdr>
                                                                            <w:top w:val="none" w:sz="0" w:space="0" w:color="auto"/>
                                                                            <w:left w:val="none" w:sz="0" w:space="0" w:color="auto"/>
                                                                            <w:bottom w:val="none" w:sz="0" w:space="0" w:color="auto"/>
                                                                            <w:right w:val="none" w:sz="0" w:space="0" w:color="auto"/>
                                                                          </w:divBdr>
                                                                          <w:divsChild>
                                                                            <w:div w:id="106242637">
                                                                              <w:marLeft w:val="150"/>
                                                                              <w:marRight w:val="150"/>
                                                                              <w:marTop w:val="150"/>
                                                                              <w:marBottom w:val="150"/>
                                                                              <w:divBdr>
                                                                                <w:top w:val="none" w:sz="0" w:space="0" w:color="auto"/>
                                                                                <w:left w:val="none" w:sz="0" w:space="0" w:color="auto"/>
                                                                                <w:bottom w:val="none" w:sz="0" w:space="0" w:color="auto"/>
                                                                                <w:right w:val="none" w:sz="0" w:space="0" w:color="auto"/>
                                                                              </w:divBdr>
                                                                              <w:divsChild>
                                                                                <w:div w:id="1603146193">
                                                                                  <w:marLeft w:val="0"/>
                                                                                  <w:marRight w:val="0"/>
                                                                                  <w:marTop w:val="0"/>
                                                                                  <w:marBottom w:val="0"/>
                                                                                  <w:divBdr>
                                                                                    <w:top w:val="single" w:sz="6" w:space="0" w:color="999999"/>
                                                                                    <w:left w:val="single" w:sz="6" w:space="0" w:color="999999"/>
                                                                                    <w:bottom w:val="single" w:sz="6" w:space="0" w:color="999999"/>
                                                                                    <w:right w:val="single" w:sz="6" w:space="0" w:color="999999"/>
                                                                                  </w:divBdr>
                                                                                  <w:divsChild>
                                                                                    <w:div w:id="620651723">
                                                                                      <w:marLeft w:val="0"/>
                                                                                      <w:marRight w:val="0"/>
                                                                                      <w:marTop w:val="0"/>
                                                                                      <w:marBottom w:val="0"/>
                                                                                      <w:divBdr>
                                                                                        <w:top w:val="none" w:sz="0" w:space="0" w:color="auto"/>
                                                                                        <w:left w:val="none" w:sz="0" w:space="0" w:color="auto"/>
                                                                                        <w:bottom w:val="none" w:sz="0" w:space="0" w:color="auto"/>
                                                                                        <w:right w:val="none" w:sz="0" w:space="0" w:color="auto"/>
                                                                                      </w:divBdr>
                                                                                      <w:divsChild>
                                                                                        <w:div w:id="730885028">
                                                                                          <w:marLeft w:val="0"/>
                                                                                          <w:marRight w:val="0"/>
                                                                                          <w:marTop w:val="0"/>
                                                                                          <w:marBottom w:val="0"/>
                                                                                          <w:divBdr>
                                                                                            <w:top w:val="none" w:sz="0" w:space="0" w:color="auto"/>
                                                                                            <w:left w:val="none" w:sz="0" w:space="0" w:color="auto"/>
                                                                                            <w:bottom w:val="none" w:sz="0" w:space="0" w:color="auto"/>
                                                                                            <w:right w:val="none" w:sz="0" w:space="0" w:color="auto"/>
                                                                                          </w:divBdr>
                                                                                          <w:divsChild>
                                                                                            <w:div w:id="141822968">
                                                                                              <w:marLeft w:val="0"/>
                                                                                              <w:marRight w:val="0"/>
                                                                                              <w:marTop w:val="0"/>
                                                                                              <w:marBottom w:val="0"/>
                                                                                              <w:divBdr>
                                                                                                <w:top w:val="none" w:sz="0" w:space="0" w:color="auto"/>
                                                                                                <w:left w:val="none" w:sz="0" w:space="0" w:color="auto"/>
                                                                                                <w:bottom w:val="none" w:sz="0" w:space="0" w:color="auto"/>
                                                                                                <w:right w:val="none" w:sz="0" w:space="0" w:color="auto"/>
                                                                                              </w:divBdr>
                                                                                              <w:divsChild>
                                                                                                <w:div w:id="79450383">
                                                                                                  <w:marLeft w:val="0"/>
                                                                                                  <w:marRight w:val="0"/>
                                                                                                  <w:marTop w:val="0"/>
                                                                                                  <w:marBottom w:val="0"/>
                                                                                                  <w:divBdr>
                                                                                                    <w:top w:val="none" w:sz="0" w:space="0" w:color="auto"/>
                                                                                                    <w:left w:val="none" w:sz="0" w:space="0" w:color="auto"/>
                                                                                                    <w:bottom w:val="none" w:sz="0" w:space="0" w:color="auto"/>
                                                                                                    <w:right w:val="none" w:sz="0" w:space="0" w:color="auto"/>
                                                                                                  </w:divBdr>
                                                                                                  <w:divsChild>
                                                                                                    <w:div w:id="1938901047">
                                                                                                      <w:marLeft w:val="0"/>
                                                                                                      <w:marRight w:val="0"/>
                                                                                                      <w:marTop w:val="0"/>
                                                                                                      <w:marBottom w:val="0"/>
                                                                                                      <w:divBdr>
                                                                                                        <w:top w:val="none" w:sz="0" w:space="0" w:color="auto"/>
                                                                                                        <w:left w:val="none" w:sz="0" w:space="0" w:color="auto"/>
                                                                                                        <w:bottom w:val="none" w:sz="0" w:space="0" w:color="auto"/>
                                                                                                        <w:right w:val="none" w:sz="0" w:space="0" w:color="auto"/>
                                                                                                      </w:divBdr>
                                                                                                    </w:div>
                                                                                                  </w:divsChild>
                                                                                                </w:div>
                                                                                                <w:div w:id="1140489699">
                                                                                                  <w:marLeft w:val="0"/>
                                                                                                  <w:marRight w:val="0"/>
                                                                                                  <w:marTop w:val="0"/>
                                                                                                  <w:marBottom w:val="0"/>
                                                                                                  <w:divBdr>
                                                                                                    <w:top w:val="none" w:sz="0" w:space="0" w:color="auto"/>
                                                                                                    <w:left w:val="none" w:sz="0" w:space="0" w:color="auto"/>
                                                                                                    <w:bottom w:val="none" w:sz="0" w:space="0" w:color="auto"/>
                                                                                                    <w:right w:val="none" w:sz="0" w:space="0" w:color="auto"/>
                                                                                                  </w:divBdr>
                                                                                                  <w:divsChild>
                                                                                                    <w:div w:id="1130394932">
                                                                                                      <w:marLeft w:val="0"/>
                                                                                                      <w:marRight w:val="0"/>
                                                                                                      <w:marTop w:val="0"/>
                                                                                                      <w:marBottom w:val="0"/>
                                                                                                      <w:divBdr>
                                                                                                        <w:top w:val="none" w:sz="0" w:space="0" w:color="auto"/>
                                                                                                        <w:left w:val="none" w:sz="0" w:space="0" w:color="auto"/>
                                                                                                        <w:bottom w:val="none" w:sz="0" w:space="0" w:color="auto"/>
                                                                                                        <w:right w:val="none" w:sz="0" w:space="0" w:color="auto"/>
                                                                                                      </w:divBdr>
                                                                                                    </w:div>
                                                                                                    <w:div w:id="17667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8543528">
      <w:bodyDiv w:val="1"/>
      <w:marLeft w:val="0"/>
      <w:marRight w:val="0"/>
      <w:marTop w:val="0"/>
      <w:marBottom w:val="0"/>
      <w:divBdr>
        <w:top w:val="none" w:sz="0" w:space="0" w:color="auto"/>
        <w:left w:val="none" w:sz="0" w:space="0" w:color="auto"/>
        <w:bottom w:val="none" w:sz="0" w:space="0" w:color="auto"/>
        <w:right w:val="none" w:sz="0" w:space="0" w:color="auto"/>
      </w:divBdr>
    </w:div>
    <w:div w:id="1449931430">
      <w:bodyDiv w:val="1"/>
      <w:marLeft w:val="0"/>
      <w:marRight w:val="0"/>
      <w:marTop w:val="0"/>
      <w:marBottom w:val="0"/>
      <w:divBdr>
        <w:top w:val="none" w:sz="0" w:space="0" w:color="auto"/>
        <w:left w:val="none" w:sz="0" w:space="0" w:color="auto"/>
        <w:bottom w:val="none" w:sz="0" w:space="0" w:color="auto"/>
        <w:right w:val="none" w:sz="0" w:space="0" w:color="auto"/>
      </w:divBdr>
    </w:div>
    <w:div w:id="1470439395">
      <w:bodyDiv w:val="1"/>
      <w:marLeft w:val="0"/>
      <w:marRight w:val="0"/>
      <w:marTop w:val="0"/>
      <w:marBottom w:val="0"/>
      <w:divBdr>
        <w:top w:val="none" w:sz="0" w:space="0" w:color="auto"/>
        <w:left w:val="none" w:sz="0" w:space="0" w:color="auto"/>
        <w:bottom w:val="none" w:sz="0" w:space="0" w:color="auto"/>
        <w:right w:val="none" w:sz="0" w:space="0" w:color="auto"/>
      </w:divBdr>
    </w:div>
    <w:div w:id="1482505052">
      <w:bodyDiv w:val="1"/>
      <w:marLeft w:val="0"/>
      <w:marRight w:val="0"/>
      <w:marTop w:val="0"/>
      <w:marBottom w:val="0"/>
      <w:divBdr>
        <w:top w:val="none" w:sz="0" w:space="0" w:color="auto"/>
        <w:left w:val="none" w:sz="0" w:space="0" w:color="auto"/>
        <w:bottom w:val="none" w:sz="0" w:space="0" w:color="auto"/>
        <w:right w:val="none" w:sz="0" w:space="0" w:color="auto"/>
      </w:divBdr>
    </w:div>
    <w:div w:id="1500463044">
      <w:bodyDiv w:val="1"/>
      <w:marLeft w:val="0"/>
      <w:marRight w:val="0"/>
      <w:marTop w:val="0"/>
      <w:marBottom w:val="0"/>
      <w:divBdr>
        <w:top w:val="none" w:sz="0" w:space="0" w:color="auto"/>
        <w:left w:val="none" w:sz="0" w:space="0" w:color="auto"/>
        <w:bottom w:val="none" w:sz="0" w:space="0" w:color="auto"/>
        <w:right w:val="none" w:sz="0" w:space="0" w:color="auto"/>
      </w:divBdr>
    </w:div>
    <w:div w:id="1523856511">
      <w:bodyDiv w:val="1"/>
      <w:marLeft w:val="0"/>
      <w:marRight w:val="0"/>
      <w:marTop w:val="0"/>
      <w:marBottom w:val="0"/>
      <w:divBdr>
        <w:top w:val="none" w:sz="0" w:space="0" w:color="auto"/>
        <w:left w:val="none" w:sz="0" w:space="0" w:color="auto"/>
        <w:bottom w:val="none" w:sz="0" w:space="0" w:color="auto"/>
        <w:right w:val="none" w:sz="0" w:space="0" w:color="auto"/>
      </w:divBdr>
      <w:divsChild>
        <w:div w:id="1062369140">
          <w:marLeft w:val="0"/>
          <w:marRight w:val="0"/>
          <w:marTop w:val="0"/>
          <w:marBottom w:val="0"/>
          <w:divBdr>
            <w:top w:val="none" w:sz="0" w:space="0" w:color="auto"/>
            <w:left w:val="none" w:sz="0" w:space="0" w:color="auto"/>
            <w:bottom w:val="none" w:sz="0" w:space="0" w:color="auto"/>
            <w:right w:val="none" w:sz="0" w:space="0" w:color="auto"/>
          </w:divBdr>
          <w:divsChild>
            <w:div w:id="16378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6394">
      <w:bodyDiv w:val="1"/>
      <w:marLeft w:val="0"/>
      <w:marRight w:val="0"/>
      <w:marTop w:val="0"/>
      <w:marBottom w:val="0"/>
      <w:divBdr>
        <w:top w:val="none" w:sz="0" w:space="0" w:color="auto"/>
        <w:left w:val="none" w:sz="0" w:space="0" w:color="auto"/>
        <w:bottom w:val="none" w:sz="0" w:space="0" w:color="auto"/>
        <w:right w:val="none" w:sz="0" w:space="0" w:color="auto"/>
      </w:divBdr>
    </w:div>
    <w:div w:id="1626547517">
      <w:bodyDiv w:val="1"/>
      <w:marLeft w:val="0"/>
      <w:marRight w:val="0"/>
      <w:marTop w:val="0"/>
      <w:marBottom w:val="0"/>
      <w:divBdr>
        <w:top w:val="none" w:sz="0" w:space="0" w:color="auto"/>
        <w:left w:val="none" w:sz="0" w:space="0" w:color="auto"/>
        <w:bottom w:val="none" w:sz="0" w:space="0" w:color="auto"/>
        <w:right w:val="none" w:sz="0" w:space="0" w:color="auto"/>
      </w:divBdr>
    </w:div>
    <w:div w:id="1648123651">
      <w:bodyDiv w:val="1"/>
      <w:marLeft w:val="0"/>
      <w:marRight w:val="0"/>
      <w:marTop w:val="0"/>
      <w:marBottom w:val="0"/>
      <w:divBdr>
        <w:top w:val="none" w:sz="0" w:space="0" w:color="auto"/>
        <w:left w:val="none" w:sz="0" w:space="0" w:color="auto"/>
        <w:bottom w:val="none" w:sz="0" w:space="0" w:color="auto"/>
        <w:right w:val="none" w:sz="0" w:space="0" w:color="auto"/>
      </w:divBdr>
    </w:div>
    <w:div w:id="1648128823">
      <w:bodyDiv w:val="1"/>
      <w:marLeft w:val="0"/>
      <w:marRight w:val="0"/>
      <w:marTop w:val="0"/>
      <w:marBottom w:val="0"/>
      <w:divBdr>
        <w:top w:val="none" w:sz="0" w:space="0" w:color="auto"/>
        <w:left w:val="none" w:sz="0" w:space="0" w:color="auto"/>
        <w:bottom w:val="none" w:sz="0" w:space="0" w:color="auto"/>
        <w:right w:val="none" w:sz="0" w:space="0" w:color="auto"/>
      </w:divBdr>
    </w:div>
    <w:div w:id="1672292136">
      <w:bodyDiv w:val="1"/>
      <w:marLeft w:val="0"/>
      <w:marRight w:val="0"/>
      <w:marTop w:val="0"/>
      <w:marBottom w:val="0"/>
      <w:divBdr>
        <w:top w:val="none" w:sz="0" w:space="0" w:color="auto"/>
        <w:left w:val="none" w:sz="0" w:space="0" w:color="auto"/>
        <w:bottom w:val="none" w:sz="0" w:space="0" w:color="auto"/>
        <w:right w:val="none" w:sz="0" w:space="0" w:color="auto"/>
      </w:divBdr>
    </w:div>
    <w:div w:id="1676106258">
      <w:bodyDiv w:val="1"/>
      <w:marLeft w:val="0"/>
      <w:marRight w:val="0"/>
      <w:marTop w:val="0"/>
      <w:marBottom w:val="0"/>
      <w:divBdr>
        <w:top w:val="none" w:sz="0" w:space="0" w:color="auto"/>
        <w:left w:val="none" w:sz="0" w:space="0" w:color="auto"/>
        <w:bottom w:val="none" w:sz="0" w:space="0" w:color="auto"/>
        <w:right w:val="none" w:sz="0" w:space="0" w:color="auto"/>
      </w:divBdr>
    </w:div>
    <w:div w:id="1681852621">
      <w:bodyDiv w:val="1"/>
      <w:marLeft w:val="0"/>
      <w:marRight w:val="0"/>
      <w:marTop w:val="0"/>
      <w:marBottom w:val="0"/>
      <w:divBdr>
        <w:top w:val="none" w:sz="0" w:space="0" w:color="auto"/>
        <w:left w:val="none" w:sz="0" w:space="0" w:color="auto"/>
        <w:bottom w:val="none" w:sz="0" w:space="0" w:color="auto"/>
        <w:right w:val="none" w:sz="0" w:space="0" w:color="auto"/>
      </w:divBdr>
    </w:div>
    <w:div w:id="1777214040">
      <w:bodyDiv w:val="1"/>
      <w:marLeft w:val="0"/>
      <w:marRight w:val="0"/>
      <w:marTop w:val="0"/>
      <w:marBottom w:val="0"/>
      <w:divBdr>
        <w:top w:val="none" w:sz="0" w:space="0" w:color="auto"/>
        <w:left w:val="none" w:sz="0" w:space="0" w:color="auto"/>
        <w:bottom w:val="none" w:sz="0" w:space="0" w:color="auto"/>
        <w:right w:val="none" w:sz="0" w:space="0" w:color="auto"/>
      </w:divBdr>
    </w:div>
    <w:div w:id="1777825785">
      <w:bodyDiv w:val="1"/>
      <w:marLeft w:val="0"/>
      <w:marRight w:val="0"/>
      <w:marTop w:val="0"/>
      <w:marBottom w:val="0"/>
      <w:divBdr>
        <w:top w:val="none" w:sz="0" w:space="0" w:color="auto"/>
        <w:left w:val="none" w:sz="0" w:space="0" w:color="auto"/>
        <w:bottom w:val="none" w:sz="0" w:space="0" w:color="auto"/>
        <w:right w:val="none" w:sz="0" w:space="0" w:color="auto"/>
      </w:divBdr>
    </w:div>
    <w:div w:id="1839422958">
      <w:bodyDiv w:val="1"/>
      <w:marLeft w:val="0"/>
      <w:marRight w:val="0"/>
      <w:marTop w:val="0"/>
      <w:marBottom w:val="0"/>
      <w:divBdr>
        <w:top w:val="none" w:sz="0" w:space="0" w:color="auto"/>
        <w:left w:val="none" w:sz="0" w:space="0" w:color="auto"/>
        <w:bottom w:val="none" w:sz="0" w:space="0" w:color="auto"/>
        <w:right w:val="none" w:sz="0" w:space="0" w:color="auto"/>
      </w:divBdr>
    </w:div>
    <w:div w:id="1846824304">
      <w:bodyDiv w:val="1"/>
      <w:marLeft w:val="0"/>
      <w:marRight w:val="0"/>
      <w:marTop w:val="0"/>
      <w:marBottom w:val="0"/>
      <w:divBdr>
        <w:top w:val="none" w:sz="0" w:space="0" w:color="auto"/>
        <w:left w:val="none" w:sz="0" w:space="0" w:color="auto"/>
        <w:bottom w:val="none" w:sz="0" w:space="0" w:color="auto"/>
        <w:right w:val="none" w:sz="0" w:space="0" w:color="auto"/>
      </w:divBdr>
    </w:div>
    <w:div w:id="1859153781">
      <w:bodyDiv w:val="1"/>
      <w:marLeft w:val="0"/>
      <w:marRight w:val="0"/>
      <w:marTop w:val="0"/>
      <w:marBottom w:val="0"/>
      <w:divBdr>
        <w:top w:val="none" w:sz="0" w:space="0" w:color="auto"/>
        <w:left w:val="none" w:sz="0" w:space="0" w:color="auto"/>
        <w:bottom w:val="none" w:sz="0" w:space="0" w:color="auto"/>
        <w:right w:val="none" w:sz="0" w:space="0" w:color="auto"/>
      </w:divBdr>
      <w:divsChild>
        <w:div w:id="613562315">
          <w:marLeft w:val="0"/>
          <w:marRight w:val="0"/>
          <w:marTop w:val="0"/>
          <w:marBottom w:val="0"/>
          <w:divBdr>
            <w:top w:val="none" w:sz="0" w:space="0" w:color="auto"/>
            <w:left w:val="none" w:sz="0" w:space="0" w:color="auto"/>
            <w:bottom w:val="none" w:sz="0" w:space="0" w:color="auto"/>
            <w:right w:val="none" w:sz="0" w:space="0" w:color="auto"/>
          </w:divBdr>
          <w:divsChild>
            <w:div w:id="14657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2231">
      <w:bodyDiv w:val="1"/>
      <w:marLeft w:val="0"/>
      <w:marRight w:val="0"/>
      <w:marTop w:val="0"/>
      <w:marBottom w:val="0"/>
      <w:divBdr>
        <w:top w:val="none" w:sz="0" w:space="0" w:color="auto"/>
        <w:left w:val="none" w:sz="0" w:space="0" w:color="auto"/>
        <w:bottom w:val="none" w:sz="0" w:space="0" w:color="auto"/>
        <w:right w:val="none" w:sz="0" w:space="0" w:color="auto"/>
      </w:divBdr>
    </w:div>
    <w:div w:id="1913469165">
      <w:bodyDiv w:val="1"/>
      <w:marLeft w:val="0"/>
      <w:marRight w:val="0"/>
      <w:marTop w:val="0"/>
      <w:marBottom w:val="0"/>
      <w:divBdr>
        <w:top w:val="none" w:sz="0" w:space="0" w:color="auto"/>
        <w:left w:val="none" w:sz="0" w:space="0" w:color="auto"/>
        <w:bottom w:val="none" w:sz="0" w:space="0" w:color="auto"/>
        <w:right w:val="none" w:sz="0" w:space="0" w:color="auto"/>
      </w:divBdr>
    </w:div>
    <w:div w:id="2030449449">
      <w:bodyDiv w:val="1"/>
      <w:marLeft w:val="0"/>
      <w:marRight w:val="0"/>
      <w:marTop w:val="0"/>
      <w:marBottom w:val="0"/>
      <w:divBdr>
        <w:top w:val="none" w:sz="0" w:space="0" w:color="auto"/>
        <w:left w:val="none" w:sz="0" w:space="0" w:color="auto"/>
        <w:bottom w:val="none" w:sz="0" w:space="0" w:color="auto"/>
        <w:right w:val="none" w:sz="0" w:space="0" w:color="auto"/>
      </w:divBdr>
    </w:div>
    <w:div w:id="2063869168">
      <w:bodyDiv w:val="1"/>
      <w:marLeft w:val="0"/>
      <w:marRight w:val="0"/>
      <w:marTop w:val="0"/>
      <w:marBottom w:val="0"/>
      <w:divBdr>
        <w:top w:val="none" w:sz="0" w:space="0" w:color="auto"/>
        <w:left w:val="none" w:sz="0" w:space="0" w:color="auto"/>
        <w:bottom w:val="none" w:sz="0" w:space="0" w:color="auto"/>
        <w:right w:val="none" w:sz="0" w:space="0" w:color="auto"/>
      </w:divBdr>
      <w:divsChild>
        <w:div w:id="587276070">
          <w:marLeft w:val="0"/>
          <w:marRight w:val="0"/>
          <w:marTop w:val="0"/>
          <w:marBottom w:val="0"/>
          <w:divBdr>
            <w:top w:val="none" w:sz="0" w:space="0" w:color="auto"/>
            <w:left w:val="none" w:sz="0" w:space="0" w:color="auto"/>
            <w:bottom w:val="none" w:sz="0" w:space="0" w:color="auto"/>
            <w:right w:val="none" w:sz="0" w:space="0" w:color="auto"/>
          </w:divBdr>
          <w:divsChild>
            <w:div w:id="525674042">
              <w:marLeft w:val="-300"/>
              <w:marRight w:val="0"/>
              <w:marTop w:val="0"/>
              <w:marBottom w:val="0"/>
              <w:divBdr>
                <w:top w:val="none" w:sz="0" w:space="0" w:color="auto"/>
                <w:left w:val="none" w:sz="0" w:space="0" w:color="auto"/>
                <w:bottom w:val="none" w:sz="0" w:space="0" w:color="auto"/>
                <w:right w:val="none" w:sz="0" w:space="0" w:color="auto"/>
              </w:divBdr>
              <w:divsChild>
                <w:div w:id="622463624">
                  <w:marLeft w:val="0"/>
                  <w:marRight w:val="0"/>
                  <w:marTop w:val="0"/>
                  <w:marBottom w:val="0"/>
                  <w:divBdr>
                    <w:top w:val="none" w:sz="0" w:space="0" w:color="auto"/>
                    <w:left w:val="none" w:sz="0" w:space="0" w:color="auto"/>
                    <w:bottom w:val="none" w:sz="0" w:space="0" w:color="auto"/>
                    <w:right w:val="none" w:sz="0" w:space="0" w:color="auto"/>
                  </w:divBdr>
                  <w:divsChild>
                    <w:div w:id="1788229837">
                      <w:marLeft w:val="0"/>
                      <w:marRight w:val="0"/>
                      <w:marTop w:val="0"/>
                      <w:marBottom w:val="0"/>
                      <w:divBdr>
                        <w:top w:val="none" w:sz="0" w:space="0" w:color="auto"/>
                        <w:left w:val="none" w:sz="0" w:space="0" w:color="auto"/>
                        <w:bottom w:val="none" w:sz="0" w:space="0" w:color="auto"/>
                        <w:right w:val="none" w:sz="0" w:space="0" w:color="auto"/>
                      </w:divBdr>
                      <w:divsChild>
                        <w:div w:id="142765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474460">
      <w:bodyDiv w:val="1"/>
      <w:marLeft w:val="0"/>
      <w:marRight w:val="0"/>
      <w:marTop w:val="0"/>
      <w:marBottom w:val="0"/>
      <w:divBdr>
        <w:top w:val="none" w:sz="0" w:space="0" w:color="auto"/>
        <w:left w:val="none" w:sz="0" w:space="0" w:color="auto"/>
        <w:bottom w:val="none" w:sz="0" w:space="0" w:color="auto"/>
        <w:right w:val="none" w:sz="0" w:space="0" w:color="auto"/>
      </w:divBdr>
    </w:div>
    <w:div w:id="2129741682">
      <w:bodyDiv w:val="1"/>
      <w:marLeft w:val="0"/>
      <w:marRight w:val="0"/>
      <w:marTop w:val="0"/>
      <w:marBottom w:val="0"/>
      <w:divBdr>
        <w:top w:val="none" w:sz="0" w:space="0" w:color="auto"/>
        <w:left w:val="none" w:sz="0" w:space="0" w:color="auto"/>
        <w:bottom w:val="none" w:sz="0" w:space="0" w:color="auto"/>
        <w:right w:val="none" w:sz="0" w:space="0" w:color="auto"/>
      </w:divBdr>
    </w:div>
    <w:div w:id="214396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fe.govt.nz/publications/climate-change/new-zealands-greenhouse-gas-inventory-1990-201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nsport.govt.nz/multi-modal/climatechang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missionstracker.mfe.govt.nz/"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nzta.govt.nz/roads-and-rail/highways-information-portal/technical-disciplines/air-quality-climate/planning-and-assessment/vehicle-emissions-mapping-too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https://tardis.transport.govt.nz/otcsdav/nodes/52941894/GPS%20Priority%20-%20Environment_WORKING_.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https://tardis.transport.govt.nz/otcsdav/nodes/52941894/GPS%20Priority%20-%20Environment.xlsx"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https://tardis.transport.govt.nz/otcsdav/nodes/52941894/GPS%20Priority%20-%20Environment.xlsx" TargetMode="External" /><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'Greenhouse gas emissions'!$B$13</c:f>
              <c:strCache>
                <c:ptCount val="1"/>
                <c:pt idx="0">
                  <c:v>All NZ emissions</c:v>
                </c:pt>
              </c:strCache>
            </c:strRef>
          </c:tx>
          <c:spPr>
            <a:ln w="28575" cap="rnd">
              <a:solidFill>
                <a:srgbClr val="00A9EF"/>
              </a:solidFill>
              <a:round/>
            </a:ln>
            <a:effectLst/>
          </c:spPr>
          <c:marker>
            <c:symbol val="none"/>
          </c:marker>
          <c:cat>
            <c:numRef>
              <c:f>'Greenhouse gas emissions'!$A$14:$A$16</c:f>
              <c:numCache>
                <c:formatCode>0</c:formatCode>
                <c:ptCount val="3"/>
                <c:pt idx="0">
                  <c:v>2015</c:v>
                </c:pt>
                <c:pt idx="1">
                  <c:v>2016</c:v>
                </c:pt>
                <c:pt idx="2">
                  <c:v>2017</c:v>
                </c:pt>
              </c:numCache>
            </c:numRef>
          </c:cat>
          <c:val>
            <c:numRef>
              <c:f>'Greenhouse gas emissions'!$B$14:$B$16</c:f>
              <c:numCache>
                <c:formatCode>0.00</c:formatCode>
                <c:ptCount val="3"/>
                <c:pt idx="0">
                  <c:v>78055.92</c:v>
                </c:pt>
                <c:pt idx="1">
                  <c:v>76047.59</c:v>
                </c:pt>
                <c:pt idx="2">
                  <c:v>77967.429999999993</c:v>
                </c:pt>
              </c:numCache>
            </c:numRef>
          </c:val>
          <c:smooth val="0"/>
          <c:extLst>
            <c:ext xmlns:c16="http://schemas.microsoft.com/office/drawing/2014/chart" uri="{C3380CC4-5D6E-409C-BE32-E72D297353CC}">
              <c16:uniqueId val="{00000000-6BDE-43DA-B7B9-74959FFCFA10}"/>
            </c:ext>
          </c:extLst>
        </c:ser>
        <c:ser>
          <c:idx val="1"/>
          <c:order val="1"/>
          <c:tx>
            <c:strRef>
              <c:f>'Greenhouse gas emissions'!$C$13</c:f>
              <c:strCache>
                <c:ptCount val="1"/>
                <c:pt idx="0">
                  <c:v>Emissions from road transport</c:v>
                </c:pt>
              </c:strCache>
            </c:strRef>
          </c:tx>
          <c:spPr>
            <a:ln w="28575" cap="rnd">
              <a:solidFill>
                <a:srgbClr val="B4D012"/>
              </a:solidFill>
              <a:round/>
            </a:ln>
            <a:effectLst/>
          </c:spPr>
          <c:marker>
            <c:symbol val="none"/>
          </c:marker>
          <c:cat>
            <c:numRef>
              <c:f>'Greenhouse gas emissions'!$A$14:$A$16</c:f>
              <c:numCache>
                <c:formatCode>0</c:formatCode>
                <c:ptCount val="3"/>
                <c:pt idx="0">
                  <c:v>2015</c:v>
                </c:pt>
                <c:pt idx="1">
                  <c:v>2016</c:v>
                </c:pt>
                <c:pt idx="2">
                  <c:v>2017</c:v>
                </c:pt>
              </c:numCache>
            </c:numRef>
          </c:cat>
          <c:val>
            <c:numRef>
              <c:f>'Greenhouse gas emissions'!$C$14:$C$16</c:f>
              <c:numCache>
                <c:formatCode>0.00</c:formatCode>
                <c:ptCount val="3"/>
                <c:pt idx="0">
                  <c:v>13574.6</c:v>
                </c:pt>
                <c:pt idx="1">
                  <c:v>13883.02</c:v>
                </c:pt>
                <c:pt idx="2">
                  <c:v>14775.64</c:v>
                </c:pt>
              </c:numCache>
            </c:numRef>
          </c:val>
          <c:smooth val="0"/>
          <c:extLst>
            <c:ext xmlns:c16="http://schemas.microsoft.com/office/drawing/2014/chart" uri="{C3380CC4-5D6E-409C-BE32-E72D297353CC}">
              <c16:uniqueId val="{00000001-6BDE-43DA-B7B9-74959FFCFA10}"/>
            </c:ext>
          </c:extLst>
        </c:ser>
        <c:ser>
          <c:idx val="2"/>
          <c:order val="2"/>
          <c:tx>
            <c:strRef>
              <c:f>'Greenhouse gas emissions'!$D$13</c:f>
              <c:strCache>
                <c:ptCount val="1"/>
                <c:pt idx="0">
                  <c:v>Emissions from rail transport</c:v>
                </c:pt>
              </c:strCache>
            </c:strRef>
          </c:tx>
          <c:spPr>
            <a:ln w="28575" cap="rnd">
              <a:solidFill>
                <a:srgbClr val="A2A4A7"/>
              </a:solidFill>
              <a:round/>
            </a:ln>
            <a:effectLst/>
          </c:spPr>
          <c:marker>
            <c:symbol val="none"/>
          </c:marker>
          <c:cat>
            <c:numRef>
              <c:f>'Greenhouse gas emissions'!$A$14:$A$16</c:f>
              <c:numCache>
                <c:formatCode>0</c:formatCode>
                <c:ptCount val="3"/>
                <c:pt idx="0">
                  <c:v>2015</c:v>
                </c:pt>
                <c:pt idx="1">
                  <c:v>2016</c:v>
                </c:pt>
                <c:pt idx="2">
                  <c:v>2017</c:v>
                </c:pt>
              </c:numCache>
            </c:numRef>
          </c:cat>
          <c:val>
            <c:numRef>
              <c:f>'Greenhouse gas emissions'!$D$14:$D$16</c:f>
              <c:numCache>
                <c:formatCode>0.00</c:formatCode>
                <c:ptCount val="3"/>
                <c:pt idx="0">
                  <c:v>155.07</c:v>
                </c:pt>
                <c:pt idx="1">
                  <c:v>144.47999999999999</c:v>
                </c:pt>
                <c:pt idx="2">
                  <c:v>124.42</c:v>
                </c:pt>
              </c:numCache>
            </c:numRef>
          </c:val>
          <c:smooth val="0"/>
          <c:extLst>
            <c:ext xmlns:c16="http://schemas.microsoft.com/office/drawing/2014/chart" uri="{C3380CC4-5D6E-409C-BE32-E72D297353CC}">
              <c16:uniqueId val="{00000002-6BDE-43DA-B7B9-74959FFCFA10}"/>
            </c:ext>
          </c:extLst>
        </c:ser>
        <c:dLbls>
          <c:showLegendKey val="0"/>
          <c:showVal val="0"/>
          <c:showCatName val="0"/>
          <c:showSerName val="0"/>
          <c:showPercent val="0"/>
          <c:showBubbleSize val="0"/>
        </c:dLbls>
        <c:smooth val="0"/>
        <c:axId val="1240748176"/>
        <c:axId val="1240746096"/>
      </c:lineChart>
      <c:catAx>
        <c:axId val="1240748176"/>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240746096"/>
        <c:crosses val="autoZero"/>
        <c:auto val="1"/>
        <c:lblAlgn val="ctr"/>
        <c:lblOffset val="100"/>
        <c:noMultiLvlLbl val="0"/>
      </c:catAx>
      <c:valAx>
        <c:axId val="1240746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NZ"/>
                  <a:t>Total number of carbon dioxide equivalent emissions in kilotonnes (kt of CO</a:t>
                </a:r>
                <a:r>
                  <a:rPr lang="en-NZ" baseline="-25000"/>
                  <a:t>2</a:t>
                </a:r>
                <a:r>
                  <a:rPr lang="en-NZ"/>
                  <a:t>-e)</a:t>
                </a:r>
              </a:p>
            </c:rich>
          </c:tx>
          <c:layout>
            <c:manualLayout>
              <c:xMode val="edge"/>
              <c:yMode val="edge"/>
              <c:x val="9.1178209125957546E-3"/>
              <c:y val="8.6412427501127292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1240748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166160756525064"/>
          <c:y val="9.8782854118892219E-2"/>
          <c:w val="0.70278073803956032"/>
          <c:h val="0.77933366020198258"/>
        </c:manualLayout>
      </c:layout>
      <c:barChart>
        <c:barDir val="bar"/>
        <c:grouping val="clustered"/>
        <c:varyColors val="0"/>
        <c:ser>
          <c:idx val="0"/>
          <c:order val="0"/>
          <c:tx>
            <c:strRef>
              <c:f>'Greenhouse gas emissions'!$C$26</c:f>
              <c:strCache>
                <c:ptCount val="1"/>
                <c:pt idx="0">
                  <c:v>2016</c:v>
                </c:pt>
              </c:strCache>
            </c:strRef>
          </c:tx>
          <c:spPr>
            <a:solidFill>
              <a:srgbClr val="B4D012"/>
            </a:solidFill>
            <a:ln>
              <a:noFill/>
            </a:ln>
            <a:effectLst/>
          </c:spPr>
          <c:invertIfNegative val="0"/>
          <c:cat>
            <c:strRef>
              <c:f>'Greenhouse gas emissions'!$A$27:$A$40</c:f>
              <c:strCache>
                <c:ptCount val="14"/>
                <c:pt idx="0">
                  <c:v>Northland</c:v>
                </c:pt>
                <c:pt idx="1">
                  <c:v>Auckland</c:v>
                </c:pt>
                <c:pt idx="2">
                  <c:v>Waikato</c:v>
                </c:pt>
                <c:pt idx="3">
                  <c:v>Bay of Plenty</c:v>
                </c:pt>
                <c:pt idx="4">
                  <c:v>Gisborne</c:v>
                </c:pt>
                <c:pt idx="5">
                  <c:v>Hawkes Bay</c:v>
                </c:pt>
                <c:pt idx="6">
                  <c:v>Taranaki</c:v>
                </c:pt>
                <c:pt idx="7">
                  <c:v>Manawatu-Wanganui</c:v>
                </c:pt>
                <c:pt idx="8">
                  <c:v>Wellington</c:v>
                </c:pt>
                <c:pt idx="9">
                  <c:v>Marlborough-Nelson-Tasman</c:v>
                </c:pt>
                <c:pt idx="10">
                  <c:v>West Coast</c:v>
                </c:pt>
                <c:pt idx="11">
                  <c:v>Canterbury</c:v>
                </c:pt>
                <c:pt idx="12">
                  <c:v>Otago</c:v>
                </c:pt>
                <c:pt idx="13">
                  <c:v>Southland</c:v>
                </c:pt>
              </c:strCache>
            </c:strRef>
          </c:cat>
          <c:val>
            <c:numRef>
              <c:f>'Greenhouse gas emissions'!$C$27:$C$40</c:f>
              <c:numCache>
                <c:formatCode>#,##0</c:formatCode>
                <c:ptCount val="14"/>
                <c:pt idx="0">
                  <c:v>454.05831139186574</c:v>
                </c:pt>
                <c:pt idx="1">
                  <c:v>2979.8380833892602</c:v>
                </c:pt>
                <c:pt idx="2">
                  <c:v>1582.7464001524852</c:v>
                </c:pt>
                <c:pt idx="3">
                  <c:v>673.61812669098731</c:v>
                </c:pt>
                <c:pt idx="4">
                  <c:v>107.60445976625489</c:v>
                </c:pt>
                <c:pt idx="5">
                  <c:v>388.76624251569996</c:v>
                </c:pt>
                <c:pt idx="6">
                  <c:v>278.98188984380101</c:v>
                </c:pt>
                <c:pt idx="7">
                  <c:v>630.52520147689609</c:v>
                </c:pt>
                <c:pt idx="8">
                  <c:v>812.92467681180301</c:v>
                </c:pt>
                <c:pt idx="9">
                  <c:v>351.40312357726089</c:v>
                </c:pt>
                <c:pt idx="10">
                  <c:v>144.59000154987541</c:v>
                </c:pt>
                <c:pt idx="11">
                  <c:v>1524.9233024073089</c:v>
                </c:pt>
                <c:pt idx="12">
                  <c:v>576.42039084666942</c:v>
                </c:pt>
                <c:pt idx="13">
                  <c:v>306.49460394464347</c:v>
                </c:pt>
              </c:numCache>
            </c:numRef>
          </c:val>
          <c:extLst>
            <c:ext xmlns:c16="http://schemas.microsoft.com/office/drawing/2014/chart" uri="{C3380CC4-5D6E-409C-BE32-E72D297353CC}">
              <c16:uniqueId val="{00000000-EB8C-4EEA-973A-194B4F1A8B16}"/>
            </c:ext>
          </c:extLst>
        </c:ser>
        <c:ser>
          <c:idx val="1"/>
          <c:order val="1"/>
          <c:tx>
            <c:strRef>
              <c:f>'Greenhouse gas emissions'!$D$26</c:f>
              <c:strCache>
                <c:ptCount val="1"/>
                <c:pt idx="0">
                  <c:v>2017</c:v>
                </c:pt>
              </c:strCache>
            </c:strRef>
          </c:tx>
          <c:spPr>
            <a:solidFill>
              <a:srgbClr val="A2A4A7"/>
            </a:solidFill>
            <a:ln>
              <a:noFill/>
            </a:ln>
            <a:effectLst/>
          </c:spPr>
          <c:invertIfNegative val="0"/>
          <c:cat>
            <c:strRef>
              <c:f>'Greenhouse gas emissions'!$A$27:$A$40</c:f>
              <c:strCache>
                <c:ptCount val="14"/>
                <c:pt idx="0">
                  <c:v>Northland</c:v>
                </c:pt>
                <c:pt idx="1">
                  <c:v>Auckland</c:v>
                </c:pt>
                <c:pt idx="2">
                  <c:v>Waikato</c:v>
                </c:pt>
                <c:pt idx="3">
                  <c:v>Bay of Plenty</c:v>
                </c:pt>
                <c:pt idx="4">
                  <c:v>Gisborne</c:v>
                </c:pt>
                <c:pt idx="5">
                  <c:v>Hawkes Bay</c:v>
                </c:pt>
                <c:pt idx="6">
                  <c:v>Taranaki</c:v>
                </c:pt>
                <c:pt idx="7">
                  <c:v>Manawatu-Wanganui</c:v>
                </c:pt>
                <c:pt idx="8">
                  <c:v>Wellington</c:v>
                </c:pt>
                <c:pt idx="9">
                  <c:v>Marlborough-Nelson-Tasman</c:v>
                </c:pt>
                <c:pt idx="10">
                  <c:v>West Coast</c:v>
                </c:pt>
                <c:pt idx="11">
                  <c:v>Canterbury</c:v>
                </c:pt>
                <c:pt idx="12">
                  <c:v>Otago</c:v>
                </c:pt>
                <c:pt idx="13">
                  <c:v>Southland</c:v>
                </c:pt>
              </c:strCache>
            </c:strRef>
          </c:cat>
          <c:val>
            <c:numRef>
              <c:f>'Greenhouse gas emissions'!$D$27:$D$40</c:f>
              <c:numCache>
                <c:formatCode>#,##0</c:formatCode>
                <c:ptCount val="14"/>
                <c:pt idx="0">
                  <c:v>449.67882148488212</c:v>
                </c:pt>
                <c:pt idx="1">
                  <c:v>2964.0395036820969</c:v>
                </c:pt>
                <c:pt idx="2">
                  <c:v>1563.1073908679996</c:v>
                </c:pt>
                <c:pt idx="3">
                  <c:v>696.07739423232658</c:v>
                </c:pt>
                <c:pt idx="4">
                  <c:v>106.5482158343635</c:v>
                </c:pt>
                <c:pt idx="5">
                  <c:v>386.22301469520642</c:v>
                </c:pt>
                <c:pt idx="6">
                  <c:v>276.96824798592519</c:v>
                </c:pt>
                <c:pt idx="7">
                  <c:v>625.82979514367776</c:v>
                </c:pt>
                <c:pt idx="8">
                  <c:v>871.69607502233828</c:v>
                </c:pt>
                <c:pt idx="9">
                  <c:v>351.8576891135944</c:v>
                </c:pt>
                <c:pt idx="10">
                  <c:v>143.6420454216514</c:v>
                </c:pt>
                <c:pt idx="11">
                  <c:v>1500.9761073939628</c:v>
                </c:pt>
                <c:pt idx="12">
                  <c:v>590.81957701959595</c:v>
                </c:pt>
                <c:pt idx="13">
                  <c:v>306.64630321356492</c:v>
                </c:pt>
              </c:numCache>
            </c:numRef>
          </c:val>
          <c:extLst>
            <c:ext xmlns:c16="http://schemas.microsoft.com/office/drawing/2014/chart" uri="{C3380CC4-5D6E-409C-BE32-E72D297353CC}">
              <c16:uniqueId val="{00000001-EB8C-4EEA-973A-194B4F1A8B16}"/>
            </c:ext>
          </c:extLst>
        </c:ser>
        <c:ser>
          <c:idx val="2"/>
          <c:order val="2"/>
          <c:tx>
            <c:strRef>
              <c:f>'Greenhouse gas emissions'!$E$26</c:f>
              <c:strCache>
                <c:ptCount val="1"/>
                <c:pt idx="0">
                  <c:v>2018</c:v>
                </c:pt>
              </c:strCache>
            </c:strRef>
          </c:tx>
          <c:spPr>
            <a:solidFill>
              <a:srgbClr val="F69E00"/>
            </a:solidFill>
            <a:ln>
              <a:noFill/>
            </a:ln>
            <a:effectLst/>
          </c:spPr>
          <c:invertIfNegative val="0"/>
          <c:cat>
            <c:strRef>
              <c:f>'Greenhouse gas emissions'!$A$27:$A$40</c:f>
              <c:strCache>
                <c:ptCount val="14"/>
                <c:pt idx="0">
                  <c:v>Northland</c:v>
                </c:pt>
                <c:pt idx="1">
                  <c:v>Auckland</c:v>
                </c:pt>
                <c:pt idx="2">
                  <c:v>Waikato</c:v>
                </c:pt>
                <c:pt idx="3">
                  <c:v>Bay of Plenty</c:v>
                </c:pt>
                <c:pt idx="4">
                  <c:v>Gisborne</c:v>
                </c:pt>
                <c:pt idx="5">
                  <c:v>Hawkes Bay</c:v>
                </c:pt>
                <c:pt idx="6">
                  <c:v>Taranaki</c:v>
                </c:pt>
                <c:pt idx="7">
                  <c:v>Manawatu-Wanganui</c:v>
                </c:pt>
                <c:pt idx="8">
                  <c:v>Wellington</c:v>
                </c:pt>
                <c:pt idx="9">
                  <c:v>Marlborough-Nelson-Tasman</c:v>
                </c:pt>
                <c:pt idx="10">
                  <c:v>West Coast</c:v>
                </c:pt>
                <c:pt idx="11">
                  <c:v>Canterbury</c:v>
                </c:pt>
                <c:pt idx="12">
                  <c:v>Otago</c:v>
                </c:pt>
                <c:pt idx="13">
                  <c:v>Southland</c:v>
                </c:pt>
              </c:strCache>
            </c:strRef>
          </c:cat>
          <c:val>
            <c:numRef>
              <c:f>'Greenhouse gas emissions'!$E$27:$E$40</c:f>
              <c:numCache>
                <c:formatCode>#,##0</c:formatCode>
                <c:ptCount val="14"/>
                <c:pt idx="0">
                  <c:v>503.02981024355984</c:v>
                </c:pt>
                <c:pt idx="1">
                  <c:v>3102.9529416765317</c:v>
                </c:pt>
                <c:pt idx="2">
                  <c:v>1651.9470961759423</c:v>
                </c:pt>
                <c:pt idx="3">
                  <c:v>770.06036492016085</c:v>
                </c:pt>
                <c:pt idx="4">
                  <c:v>105.68292047236993</c:v>
                </c:pt>
                <c:pt idx="5">
                  <c:v>414.55544011250748</c:v>
                </c:pt>
                <c:pt idx="6">
                  <c:v>286.91492591433268</c:v>
                </c:pt>
                <c:pt idx="7">
                  <c:v>684.36755313537537</c:v>
                </c:pt>
                <c:pt idx="8">
                  <c:v>871.71488679383913</c:v>
                </c:pt>
                <c:pt idx="9">
                  <c:v>408.33866912052218</c:v>
                </c:pt>
                <c:pt idx="10">
                  <c:v>161.35905112007384</c:v>
                </c:pt>
                <c:pt idx="11">
                  <c:v>1585.929756210593</c:v>
                </c:pt>
                <c:pt idx="12">
                  <c:v>622.40836780593565</c:v>
                </c:pt>
                <c:pt idx="13">
                  <c:v>330.68153337433324</c:v>
                </c:pt>
              </c:numCache>
            </c:numRef>
          </c:val>
          <c:extLst>
            <c:ext xmlns:c16="http://schemas.microsoft.com/office/drawing/2014/chart" uri="{C3380CC4-5D6E-409C-BE32-E72D297353CC}">
              <c16:uniqueId val="{00000002-EB8C-4EEA-973A-194B4F1A8B16}"/>
            </c:ext>
          </c:extLst>
        </c:ser>
        <c:dLbls>
          <c:showLegendKey val="0"/>
          <c:showVal val="0"/>
          <c:showCatName val="0"/>
          <c:showSerName val="0"/>
          <c:showPercent val="0"/>
          <c:showBubbleSize val="0"/>
        </c:dLbls>
        <c:gapWidth val="219"/>
        <c:axId val="1285299055"/>
        <c:axId val="1285294895"/>
      </c:barChart>
      <c:catAx>
        <c:axId val="1285299055"/>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1" i="0" u="none" strike="noStrike" kern="1200" baseline="0">
                <a:solidFill>
                  <a:schemeClr val="tx1"/>
                </a:solidFill>
                <a:latin typeface="+mn-lt"/>
                <a:ea typeface="+mn-ea"/>
                <a:cs typeface="+mn-cs"/>
              </a:defRPr>
            </a:pPr>
            <a:endParaRPr lang="en-US"/>
          </a:p>
        </c:txPr>
        <c:crossAx val="1285294895"/>
        <c:crosses val="autoZero"/>
        <c:auto val="1"/>
        <c:lblAlgn val="ctr"/>
        <c:lblOffset val="100"/>
        <c:noMultiLvlLbl val="0"/>
      </c:catAx>
      <c:valAx>
        <c:axId val="1285294895"/>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t" anchorCtr="0"/>
              <a:lstStyle/>
              <a:p>
                <a:pPr>
                  <a:defRPr sz="900" b="1" i="0" u="none" strike="noStrike" kern="1200" baseline="0">
                    <a:solidFill>
                      <a:schemeClr val="tx1"/>
                    </a:solidFill>
                    <a:latin typeface="+mn-lt"/>
                    <a:ea typeface="+mn-ea"/>
                    <a:cs typeface="+mn-cs"/>
                  </a:defRPr>
                </a:pPr>
                <a:r>
                  <a:rPr lang="en-NZ"/>
                  <a:t>Total kilotonnes of greenhouse gases </a:t>
                </a:r>
              </a:p>
              <a:p>
                <a:pPr>
                  <a:defRPr/>
                </a:pPr>
                <a:r>
                  <a:rPr lang="en-NZ"/>
                  <a:t>emitted by land transport</a:t>
                </a:r>
              </a:p>
            </c:rich>
          </c:tx>
          <c:layout>
            <c:manualLayout>
              <c:xMode val="edge"/>
              <c:yMode val="edge"/>
              <c:x val="0.44516624325102405"/>
              <c:y val="1.0082740363046435E-2"/>
            </c:manualLayout>
          </c:layout>
          <c:overlay val="0"/>
          <c:spPr>
            <a:noFill/>
            <a:ln>
              <a:noFill/>
            </a:ln>
            <a:effectLst/>
          </c:spPr>
          <c:txPr>
            <a:bodyPr rot="0" spcFirstLastPara="1" vertOverflow="ellipsis" vert="horz" wrap="square" anchor="t" anchorCtr="0"/>
            <a:lstStyle/>
            <a:p>
              <a:pPr>
                <a:defRPr sz="900" b="1"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285299055"/>
        <c:crosses val="autoZero"/>
        <c:crossBetween val="between"/>
      </c:valAx>
      <c:spPr>
        <a:noFill/>
        <a:ln>
          <a:noFill/>
        </a:ln>
        <a:effectLst/>
      </c:spPr>
    </c:plotArea>
    <c:legend>
      <c:legendPos val="b"/>
      <c:layout>
        <c:manualLayout>
          <c:xMode val="edge"/>
          <c:yMode val="edge"/>
          <c:x val="0.73028339385735863"/>
          <c:y val="0.93718649430595724"/>
          <c:w val="0.21649671116318928"/>
          <c:h val="5.95347260900907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chemeClr val="tx1"/>
          </a:solidFill>
          <a:latin typeface="+mn-lt"/>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45382035121355"/>
          <c:y val="0.11480134094662708"/>
          <c:w val="0.71072178889468118"/>
          <c:h val="0.80891161524414523"/>
        </c:manualLayout>
      </c:layout>
      <c:barChart>
        <c:barDir val="bar"/>
        <c:grouping val="clustered"/>
        <c:varyColors val="0"/>
        <c:ser>
          <c:idx val="0"/>
          <c:order val="0"/>
          <c:spPr>
            <a:solidFill>
              <a:srgbClr val="F69E00"/>
            </a:solidFill>
            <a:ln>
              <a:noFill/>
            </a:ln>
            <a:effectLst/>
          </c:spPr>
          <c:invertIfNegative val="0"/>
          <c:cat>
            <c:strRef>
              <c:f>'Exposure to LT noise'!$A$7:$A$20</c:f>
              <c:strCache>
                <c:ptCount val="14"/>
                <c:pt idx="0">
                  <c:v>Northland</c:v>
                </c:pt>
                <c:pt idx="1">
                  <c:v>Auckland</c:v>
                </c:pt>
                <c:pt idx="2">
                  <c:v>Waikato</c:v>
                </c:pt>
                <c:pt idx="3">
                  <c:v>Bay of Plenty</c:v>
                </c:pt>
                <c:pt idx="4">
                  <c:v>Gisborne</c:v>
                </c:pt>
                <c:pt idx="5">
                  <c:v>Hawkes Bay</c:v>
                </c:pt>
                <c:pt idx="6">
                  <c:v>Taranaki</c:v>
                </c:pt>
                <c:pt idx="7">
                  <c:v>Manawatu-Whanganui</c:v>
                </c:pt>
                <c:pt idx="8">
                  <c:v>Wellington</c:v>
                </c:pt>
                <c:pt idx="9">
                  <c:v>Nelson-Tasman-Marlborough</c:v>
                </c:pt>
                <c:pt idx="10">
                  <c:v>West Coast</c:v>
                </c:pt>
                <c:pt idx="11">
                  <c:v>Canterbury</c:v>
                </c:pt>
                <c:pt idx="12">
                  <c:v>Otago</c:v>
                </c:pt>
                <c:pt idx="13">
                  <c:v>Southland</c:v>
                </c:pt>
              </c:strCache>
            </c:strRef>
          </c:cat>
          <c:val>
            <c:numRef>
              <c:f>'Exposure to LT noise'!$B$7:$B$20</c:f>
              <c:numCache>
                <c:formatCode>#,##0</c:formatCode>
                <c:ptCount val="14"/>
                <c:pt idx="0">
                  <c:v>869</c:v>
                </c:pt>
                <c:pt idx="1">
                  <c:v>11250</c:v>
                </c:pt>
                <c:pt idx="2">
                  <c:v>3032</c:v>
                </c:pt>
                <c:pt idx="3">
                  <c:v>1345</c:v>
                </c:pt>
                <c:pt idx="4">
                  <c:v>22</c:v>
                </c:pt>
                <c:pt idx="5">
                  <c:v>1056</c:v>
                </c:pt>
                <c:pt idx="6">
                  <c:v>472</c:v>
                </c:pt>
                <c:pt idx="7">
                  <c:v>1352</c:v>
                </c:pt>
                <c:pt idx="8">
                  <c:v>10490</c:v>
                </c:pt>
                <c:pt idx="9">
                  <c:v>1768</c:v>
                </c:pt>
                <c:pt idx="10">
                  <c:v>99</c:v>
                </c:pt>
                <c:pt idx="11">
                  <c:v>4189</c:v>
                </c:pt>
                <c:pt idx="12">
                  <c:v>1151</c:v>
                </c:pt>
                <c:pt idx="13">
                  <c:v>787</c:v>
                </c:pt>
              </c:numCache>
            </c:numRef>
          </c:val>
          <c:extLst>
            <c:ext xmlns:c16="http://schemas.microsoft.com/office/drawing/2014/chart" uri="{C3380CC4-5D6E-409C-BE32-E72D297353CC}">
              <c16:uniqueId val="{00000000-211E-48F7-A96A-11A587A41B40}"/>
            </c:ext>
          </c:extLst>
        </c:ser>
        <c:dLbls>
          <c:showLegendKey val="0"/>
          <c:showVal val="0"/>
          <c:showCatName val="0"/>
          <c:showSerName val="0"/>
          <c:showPercent val="0"/>
          <c:showBubbleSize val="0"/>
        </c:dLbls>
        <c:gapWidth val="219"/>
        <c:axId val="55006992"/>
        <c:axId val="55007408"/>
      </c:barChart>
      <c:catAx>
        <c:axId val="550069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1" i="0" u="none" strike="noStrike" kern="1200" baseline="0">
                <a:solidFill>
                  <a:sysClr val="windowText" lastClr="000000"/>
                </a:solidFill>
                <a:latin typeface="+mn-lt"/>
                <a:ea typeface="+mn-ea"/>
                <a:cs typeface="+mn-cs"/>
              </a:defRPr>
            </a:pPr>
            <a:endParaRPr lang="en-US"/>
          </a:p>
        </c:txPr>
        <c:crossAx val="55007408"/>
        <c:crosses val="autoZero"/>
        <c:auto val="1"/>
        <c:lblAlgn val="ctr"/>
        <c:lblOffset val="100"/>
        <c:noMultiLvlLbl val="0"/>
      </c:catAx>
      <c:valAx>
        <c:axId val="55007408"/>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t" anchorCtr="0"/>
              <a:lstStyle/>
              <a:p>
                <a:pPr>
                  <a:defRPr sz="900" b="1" i="0" u="none" strike="noStrike" kern="1200" baseline="0">
                    <a:solidFill>
                      <a:sysClr val="windowText" lastClr="000000"/>
                    </a:solidFill>
                    <a:latin typeface="+mn-lt"/>
                    <a:ea typeface="+mn-ea"/>
                    <a:cs typeface="+mn-cs"/>
                  </a:defRPr>
                </a:pPr>
                <a:r>
                  <a:rPr lang="en-NZ"/>
                  <a:t>Total number of people exposed to elevated </a:t>
                </a:r>
              </a:p>
              <a:p>
                <a:pPr>
                  <a:defRPr/>
                </a:pPr>
                <a:r>
                  <a:rPr lang="en-NZ"/>
                  <a:t>levels of land transport noise</a:t>
                </a:r>
              </a:p>
            </c:rich>
          </c:tx>
          <c:layout>
            <c:manualLayout>
              <c:xMode val="edge"/>
              <c:yMode val="edge"/>
              <c:x val="0.380585845627539"/>
              <c:y val="2.1167754454048334E-2"/>
            </c:manualLayout>
          </c:layout>
          <c:overlay val="0"/>
          <c:spPr>
            <a:noFill/>
            <a:ln>
              <a:noFill/>
            </a:ln>
            <a:effectLst/>
          </c:spPr>
          <c:txPr>
            <a:bodyPr rot="0" spcFirstLastPara="1" vertOverflow="ellipsis" vert="horz" wrap="square" anchor="t" anchorCtr="0"/>
            <a:lstStyle/>
            <a:p>
              <a:pPr>
                <a:defRPr sz="900" b="1" i="0" u="none" strike="noStrike" kern="1200" baseline="0">
                  <a:solidFill>
                    <a:sysClr val="windowText" lastClr="000000"/>
                  </a:solidFill>
                  <a:latin typeface="+mn-lt"/>
                  <a:ea typeface="+mn-ea"/>
                  <a:cs typeface="+mn-cs"/>
                </a:defRPr>
              </a:pPr>
              <a:endParaRPr lang="en-US"/>
            </a:p>
          </c:txPr>
        </c:title>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550069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b="1">
          <a:solidFill>
            <a:sysClr val="windowText" lastClr="000000"/>
          </a:solidFill>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 Template">
  <a:themeElements>
    <a:clrScheme name="MOT">
      <a:dk1>
        <a:sysClr val="windowText" lastClr="000000"/>
      </a:dk1>
      <a:lt1>
        <a:sysClr val="window" lastClr="FFFFFF"/>
      </a:lt1>
      <a:dk2>
        <a:srgbClr val="58585A"/>
      </a:dk2>
      <a:lt2>
        <a:srgbClr val="FFFFFF"/>
      </a:lt2>
      <a:accent1>
        <a:srgbClr val="00A9EF"/>
      </a:accent1>
      <a:accent2>
        <a:srgbClr val="B4D012"/>
      </a:accent2>
      <a:accent3>
        <a:srgbClr val="A2A4A7"/>
      </a:accent3>
      <a:accent4>
        <a:srgbClr val="F69E00"/>
      </a:accent4>
      <a:accent5>
        <a:srgbClr val="00938C"/>
      </a:accent5>
      <a:accent6>
        <a:srgbClr val="3BA933"/>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marL="177800" indent="-177800">
          <a:spcBef>
            <a:spcPts val="600"/>
          </a:spcBef>
          <a:buClr>
            <a:schemeClr val="accent1"/>
          </a:buClr>
          <a:buSzPct val="60000"/>
          <a:buFont typeface="Arial" pitchFamily="34" charset="0"/>
          <a:buChar char="►"/>
          <a:defRPr sz="1700" dirty="0" err="1" smtClean="0">
            <a:solidFill>
              <a:schemeClr val="tx2"/>
            </a:solidFill>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8811-0611-4452-902B-105D90BD1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Godfrey</dc:creator>
  <cp:keywords>64124894</cp:keywords>
  <dc:description/>
  <cp:lastModifiedBy>Brittany Farrent-Smith</cp:lastModifiedBy>
  <cp:revision>27</cp:revision>
  <dcterms:created xsi:type="dcterms:W3CDTF">2020-03-16T22:19:00Z</dcterms:created>
  <dcterms:modified xsi:type="dcterms:W3CDTF">2020-10-28T23:52:00Z</dcterms:modified>
</cp:coreProperties>
</file>